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9" w:rsidRDefault="00EB3609" w:rsidP="00EB3609">
      <w:pPr>
        <w:jc w:val="right"/>
      </w:pPr>
      <w:r w:rsidRPr="003A2C69">
        <w:rPr>
          <w:noProof/>
        </w:rPr>
        <w:drawing>
          <wp:inline distT="0" distB="0" distL="0" distR="0" wp14:anchorId="667B4DBF" wp14:editId="23627599">
            <wp:extent cx="3035300" cy="1187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09" w:rsidRPr="003A2C69" w:rsidRDefault="00193E74" w:rsidP="00457E03">
      <w:pPr>
        <w:pStyle w:val="NoSpacing"/>
        <w:spacing w:line="312" w:lineRule="auto"/>
        <w:ind w:left="-180"/>
        <w:rPr>
          <w:caps/>
          <w:color w:val="191919" w:themeColor="text1" w:themeTint="E6"/>
          <w:sz w:val="52"/>
          <w:szCs w:val="52"/>
        </w:rPr>
      </w:pPr>
      <w:sdt>
        <w:sdtPr>
          <w:rPr>
            <w:caps/>
            <w:color w:val="191919" w:themeColor="text1" w:themeTint="E6"/>
            <w:sz w:val="36"/>
            <w:szCs w:val="36"/>
          </w:rPr>
          <w:alias w:val="Title"/>
          <w:tag w:val=""/>
          <w:id w:val="-43837963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6C23">
            <w:rPr>
              <w:caps/>
              <w:color w:val="191919" w:themeColor="text1" w:themeTint="E6"/>
              <w:sz w:val="36"/>
              <w:szCs w:val="36"/>
            </w:rPr>
            <w:t>Trainer Organization SMS</w:t>
          </w:r>
          <w:r w:rsidR="00C62B4A">
            <w:rPr>
              <w:caps/>
              <w:color w:val="191919" w:themeColor="text1" w:themeTint="E6"/>
              <w:sz w:val="36"/>
              <w:szCs w:val="36"/>
            </w:rPr>
            <w:t xml:space="preserve"> Curriculum TEMPLATE </w:t>
          </w:r>
          <w:r w:rsidR="00EF6C23">
            <w:rPr>
              <w:caps/>
              <w:color w:val="191919" w:themeColor="text1" w:themeTint="E6"/>
              <w:sz w:val="36"/>
              <w:szCs w:val="36"/>
            </w:rPr>
            <w:t>–</w:t>
          </w:r>
        </w:sdtContent>
      </w:sdt>
      <w:r w:rsidR="00457E03" w:rsidRPr="00457E03">
        <w:rPr>
          <w:caps/>
          <w:color w:val="191919" w:themeColor="text1" w:themeTint="E6"/>
          <w:sz w:val="36"/>
          <w:szCs w:val="36"/>
        </w:rPr>
        <w:t xml:space="preserve"> </w:t>
      </w:r>
      <w:r w:rsidR="00EF6C23">
        <w:rPr>
          <w:caps/>
          <w:color w:val="191919" w:themeColor="text1" w:themeTint="E6"/>
          <w:sz w:val="36"/>
          <w:szCs w:val="36"/>
        </w:rPr>
        <w:t>Self-Management support (SMS</w:t>
      </w:r>
      <w:r w:rsidR="00457E03" w:rsidRPr="003C4019">
        <w:rPr>
          <w:caps/>
          <w:color w:val="191919" w:themeColor="text1" w:themeTint="E6"/>
          <w:sz w:val="36"/>
          <w:szCs w:val="36"/>
        </w:rPr>
        <w:t>) APPLICATION -</w:t>
      </w:r>
    </w:p>
    <w:p w:rsidR="00EB3609" w:rsidRPr="00EB3609" w:rsidRDefault="00EF6C23" w:rsidP="00457E03">
      <w:pPr>
        <w:ind w:left="-180"/>
        <w:rPr>
          <w:b/>
        </w:rPr>
      </w:pPr>
      <w:r>
        <w:rPr>
          <w:b/>
        </w:rPr>
        <w:t xml:space="preserve"> Steps to complete the SMS </w:t>
      </w:r>
      <w:r w:rsidR="00EB3609" w:rsidRPr="00EB3609">
        <w:rPr>
          <w:b/>
        </w:rPr>
        <w:t>Course Trainer Application:</w:t>
      </w:r>
    </w:p>
    <w:p w:rsidR="00FF5F71" w:rsidRPr="00546FD4" w:rsidRDefault="00EF6C23" w:rsidP="00FF5F71">
      <w:pPr>
        <w:ind w:hanging="180"/>
        <w:rPr>
          <w:rStyle w:val="Hyperlink"/>
        </w:rPr>
      </w:pPr>
      <w:r>
        <w:t>1. Review the MICMT SMS</w:t>
      </w:r>
      <w:r w:rsidR="00EB3609">
        <w:t xml:space="preserve"> Trainer Organization Requirements and Lead Trainer Qualifications document.</w:t>
      </w:r>
      <w:r w:rsidR="00EB3609" w:rsidRPr="00FD361F">
        <w:t xml:space="preserve"> </w:t>
      </w:r>
      <w:r w:rsidR="00546FD4">
        <w:rPr>
          <w:b/>
        </w:rPr>
        <w:fldChar w:fldCharType="begin"/>
      </w:r>
      <w:r w:rsidR="00546FD4">
        <w:rPr>
          <w:b/>
        </w:rPr>
        <w:instrText xml:space="preserve"> HYPERLINK "https://micmrc.org/sites/default/files/SMS%20Training%20organization%20and%20trainier%20criteria%20v2.pdf" </w:instrText>
      </w:r>
      <w:r w:rsidR="00546FD4">
        <w:rPr>
          <w:b/>
        </w:rPr>
        <w:fldChar w:fldCharType="separate"/>
      </w:r>
      <w:r w:rsidR="00FD361F" w:rsidRPr="00546FD4">
        <w:rPr>
          <w:rStyle w:val="Hyperlink"/>
          <w:b/>
        </w:rPr>
        <w:t>Click Here</w:t>
      </w:r>
    </w:p>
    <w:p w:rsidR="00EB3609" w:rsidRDefault="00546FD4" w:rsidP="00457E03">
      <w:pPr>
        <w:ind w:hanging="180"/>
        <w:rPr>
          <w:rStyle w:val="Hyperlink"/>
          <w:rFonts w:ascii="Open Sans" w:hAnsi="Open Sans"/>
          <w:b/>
          <w:bCs/>
          <w:lang w:val="en"/>
        </w:rPr>
      </w:pPr>
      <w:r>
        <w:rPr>
          <w:b/>
        </w:rPr>
        <w:fldChar w:fldCharType="end"/>
      </w:r>
      <w:r w:rsidR="00EB3609">
        <w:t>2.  R</w:t>
      </w:r>
      <w:r w:rsidR="00EF6C23">
        <w:t>eview the MICMT Standardized SMS</w:t>
      </w:r>
      <w:r w:rsidR="00EB3609">
        <w:t xml:space="preserve"> course curriculum</w:t>
      </w:r>
      <w:r w:rsidR="00E96BE6">
        <w:t xml:space="preserve"> which includes topic, objectives, modality</w:t>
      </w:r>
      <w:r w:rsidR="00EB3609">
        <w:t xml:space="preserve">. </w:t>
      </w:r>
      <w:r w:rsidR="00457E03">
        <w:t xml:space="preserve"> </w:t>
      </w:r>
      <w:r w:rsidR="00457E03" w:rsidRPr="00546FD4">
        <w:rPr>
          <w:rFonts w:cstheme="minorHAnsi"/>
        </w:rPr>
        <w:t xml:space="preserve"> </w:t>
      </w:r>
      <w:hyperlink r:id="rId9" w:tgtFrame="_blank" w:history="1">
        <w:r w:rsidR="00457E03" w:rsidRPr="00546FD4">
          <w:rPr>
            <w:rStyle w:val="Hyperlink"/>
            <w:rFonts w:cstheme="minorHAnsi"/>
            <w:b/>
            <w:bCs/>
            <w:lang w:val="en"/>
          </w:rPr>
          <w:t>Click Here</w:t>
        </w:r>
      </w:hyperlink>
    </w:p>
    <w:p w:rsidR="003C7E08" w:rsidRPr="00855FA3" w:rsidRDefault="00EF6C23" w:rsidP="003C7E08">
      <w:pPr>
        <w:pStyle w:val="ListParagraph"/>
        <w:numPr>
          <w:ilvl w:val="0"/>
          <w:numId w:val="17"/>
        </w:numPr>
        <w:ind w:left="810" w:hanging="270"/>
        <w:rPr>
          <w:rStyle w:val="Hyperlink"/>
        </w:rPr>
      </w:pPr>
      <w:r>
        <w:t>Review SMS</w:t>
      </w:r>
      <w:r w:rsidR="003C7E08">
        <w:t xml:space="preserve"> Standardized course content (slide decks, case studies, handouts): </w:t>
      </w:r>
      <w:hyperlink r:id="rId10" w:tgtFrame="_blank" w:history="1">
        <w:r w:rsidR="003C7E08" w:rsidRPr="001364E2">
          <w:rPr>
            <w:rFonts w:ascii="Open Sans" w:hAnsi="Open Sans"/>
            <w:b/>
            <w:bCs/>
            <w:color w:val="0072B9"/>
            <w:u w:val="single"/>
            <w:lang w:val="en"/>
          </w:rPr>
          <w:t>Self Study Modules</w:t>
        </w:r>
      </w:hyperlink>
      <w:r w:rsidR="001364E2" w:rsidRPr="001364E2">
        <w:rPr>
          <w:rFonts w:ascii="Open Sans" w:hAnsi="Open Sans"/>
          <w:b/>
          <w:bCs/>
          <w:u w:val="single"/>
          <w:lang w:val="en"/>
        </w:rPr>
        <w:t>,</w:t>
      </w:r>
      <w:r w:rsidR="003C7E08" w:rsidRPr="003C7E08">
        <w:rPr>
          <w:rFonts w:ascii="Open Sans" w:hAnsi="Open Sans"/>
          <w:lang w:val="en"/>
        </w:rPr>
        <w:t xml:space="preserve"> </w:t>
      </w:r>
      <w:r w:rsidR="00855FA3">
        <w:rPr>
          <w:rFonts w:ascii="Open Sans" w:hAnsi="Open Sans"/>
          <w:b/>
          <w:bCs/>
          <w:color w:val="0072B9"/>
          <w:lang w:val="en"/>
        </w:rPr>
        <w:fldChar w:fldCharType="begin"/>
      </w:r>
      <w:r w:rsidR="001364E2">
        <w:rPr>
          <w:rFonts w:ascii="Open Sans" w:hAnsi="Open Sans"/>
          <w:b/>
          <w:bCs/>
          <w:color w:val="0072B9"/>
          <w:lang w:val="en"/>
        </w:rPr>
        <w:instrText>HYPERLINK "https://micmrc.org/self-management-support-course-participant-materials" \t "_blank"</w:instrText>
      </w:r>
      <w:r w:rsidR="00855FA3">
        <w:rPr>
          <w:rFonts w:ascii="Open Sans" w:hAnsi="Open Sans"/>
          <w:b/>
          <w:bCs/>
          <w:color w:val="0072B9"/>
          <w:lang w:val="en"/>
        </w:rPr>
        <w:fldChar w:fldCharType="separate"/>
      </w:r>
      <w:r w:rsidR="003C7E08" w:rsidRPr="001364E2">
        <w:rPr>
          <w:rStyle w:val="Hyperlink"/>
          <w:rFonts w:ascii="Open Sans" w:hAnsi="Open Sans"/>
          <w:b/>
          <w:bCs/>
          <w:u w:val="single"/>
          <w:lang w:val="en"/>
        </w:rPr>
        <w:t>One Day in Person Course Materials</w:t>
      </w:r>
      <w:r w:rsidR="006D1DCF">
        <w:rPr>
          <w:rStyle w:val="Hyperlink"/>
          <w:rFonts w:ascii="Open Sans" w:hAnsi="Open Sans"/>
          <w:b/>
          <w:bCs/>
          <w:u w:val="single"/>
          <w:lang w:val="en"/>
        </w:rPr>
        <w:t xml:space="preserve"> for P</w:t>
      </w:r>
      <w:r w:rsidR="001364E2" w:rsidRPr="001364E2">
        <w:rPr>
          <w:rStyle w:val="Hyperlink"/>
          <w:rFonts w:ascii="Open Sans" w:hAnsi="Open Sans"/>
          <w:b/>
          <w:bCs/>
          <w:u w:val="single"/>
          <w:lang w:val="en"/>
        </w:rPr>
        <w:t>articipants</w:t>
      </w:r>
      <w:r w:rsidR="001364E2">
        <w:rPr>
          <w:rStyle w:val="Hyperlink"/>
          <w:rFonts w:ascii="Open Sans" w:hAnsi="Open Sans"/>
          <w:b/>
          <w:bCs/>
          <w:lang w:val="en"/>
        </w:rPr>
        <w:t xml:space="preserve">, </w:t>
      </w:r>
      <w:r w:rsidR="001364E2" w:rsidRPr="001364E2">
        <w:rPr>
          <w:rStyle w:val="Hyperlink"/>
          <w:rFonts w:ascii="Open Sans" w:hAnsi="Open Sans"/>
          <w:b/>
          <w:bCs/>
          <w:u w:val="single"/>
          <w:lang w:val="en"/>
        </w:rPr>
        <w:t>Course Slide Decks, Handouts and Activities for Trainers</w:t>
      </w:r>
    </w:p>
    <w:p w:rsidR="006270EF" w:rsidRDefault="00855FA3" w:rsidP="00457E03">
      <w:pPr>
        <w:ind w:hanging="180"/>
      </w:pPr>
      <w:r>
        <w:rPr>
          <w:rFonts w:ascii="Open Sans" w:hAnsi="Open Sans"/>
          <w:b/>
          <w:bCs/>
          <w:color w:val="0072B9"/>
          <w:lang w:val="en"/>
        </w:rPr>
        <w:fldChar w:fldCharType="end"/>
      </w:r>
      <w:r w:rsidR="00EB3609">
        <w:t>3.  Complete th</w:t>
      </w:r>
      <w:r w:rsidR="00777AAE">
        <w:t>is</w:t>
      </w:r>
      <w:r w:rsidR="00EF6C23">
        <w:t xml:space="preserve"> Trainer Organization SMS </w:t>
      </w:r>
      <w:r w:rsidR="00EB3609">
        <w:t xml:space="preserve">curriculum template (see </w:t>
      </w:r>
      <w:r w:rsidR="00777AAE">
        <w:t xml:space="preserve">table </w:t>
      </w:r>
      <w:r w:rsidR="00EB3609">
        <w:t xml:space="preserve">below).  </w:t>
      </w:r>
    </w:p>
    <w:p w:rsidR="00777AAE" w:rsidRDefault="00BF138D" w:rsidP="00457E03">
      <w:pPr>
        <w:pStyle w:val="ListParagraph"/>
        <w:numPr>
          <w:ilvl w:val="0"/>
          <w:numId w:val="8"/>
        </w:numPr>
        <w:ind w:hanging="180"/>
      </w:pPr>
      <w:r>
        <w:t xml:space="preserve">Purpose of </w:t>
      </w:r>
      <w:r w:rsidR="00EF6C23">
        <w:t>the Trainer Organization SMS</w:t>
      </w:r>
      <w:r w:rsidR="00777AAE">
        <w:t xml:space="preserve"> curriculum</w:t>
      </w:r>
      <w:r>
        <w:t xml:space="preserve"> template</w:t>
      </w:r>
      <w:r w:rsidR="006270EF">
        <w:t>:</w:t>
      </w:r>
    </w:p>
    <w:p w:rsidR="00777AAE" w:rsidRDefault="006270EF" w:rsidP="00777AAE">
      <w:pPr>
        <w:ind w:left="1080"/>
      </w:pPr>
      <w:r>
        <w:t xml:space="preserve"> a) </w:t>
      </w:r>
      <w:r w:rsidR="00BF138D">
        <w:t>inform MICMT if you</w:t>
      </w:r>
      <w:r>
        <w:t>r course will include content in addition to the MICMT</w:t>
      </w:r>
      <w:r w:rsidR="00983BCA">
        <w:t xml:space="preserve"> SMS</w:t>
      </w:r>
      <w:r w:rsidR="00BF138D">
        <w:t xml:space="preserve"> standardized </w:t>
      </w:r>
      <w:r w:rsidR="00983BCA">
        <w:t xml:space="preserve">  </w:t>
      </w:r>
      <w:r w:rsidR="00F34E92">
        <w:t>curriculum</w:t>
      </w:r>
      <w:r>
        <w:t>,</w:t>
      </w:r>
    </w:p>
    <w:p w:rsidR="00777AAE" w:rsidRDefault="006270EF" w:rsidP="00777AAE">
      <w:pPr>
        <w:ind w:left="1080"/>
      </w:pPr>
      <w:r>
        <w:t xml:space="preserve"> b) </w:t>
      </w:r>
      <w:r w:rsidR="00F34E92">
        <w:t>describe the</w:t>
      </w:r>
      <w:r>
        <w:t xml:space="preserve"> content addition</w:t>
      </w:r>
      <w:r w:rsidR="00777AAE">
        <w:t>,</w:t>
      </w:r>
      <w:r>
        <w:t xml:space="preserve"> and </w:t>
      </w:r>
    </w:p>
    <w:p w:rsidR="00526EFC" w:rsidRDefault="006270EF" w:rsidP="00777AAE">
      <w:pPr>
        <w:ind w:left="1080"/>
      </w:pPr>
      <w:r>
        <w:t xml:space="preserve">c) indicate for each agenda topic the </w:t>
      </w:r>
      <w:r w:rsidR="00777AAE">
        <w:t xml:space="preserve">teaching </w:t>
      </w:r>
      <w:r>
        <w:t xml:space="preserve">modality you will use.  </w:t>
      </w:r>
      <w:r w:rsidR="00BF138D">
        <w:t xml:space="preserve"> </w:t>
      </w:r>
    </w:p>
    <w:p w:rsidR="00906B5A" w:rsidRPr="002F20B7" w:rsidRDefault="00906B5A" w:rsidP="00906B5A">
      <w:pPr>
        <w:pStyle w:val="ListParagraph"/>
        <w:widowControl w:val="0"/>
        <w:numPr>
          <w:ilvl w:val="0"/>
          <w:numId w:val="8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The approved training organization may add conte</w:t>
      </w:r>
      <w:r w:rsidR="00EF6C23">
        <w:t>nt to the standardized MICMT SMS</w:t>
      </w:r>
      <w:r w:rsidRPr="002F20B7">
        <w:t xml:space="preserve"> course materials, prov</w:t>
      </w:r>
      <w:r w:rsidR="00983BCA">
        <w:t xml:space="preserve">ided the MICMT standardized SMS </w:t>
      </w:r>
      <w:r w:rsidRPr="002F20B7">
        <w:t>curriculum is</w:t>
      </w:r>
      <w:r w:rsidRPr="002F20B7">
        <w:rPr>
          <w:spacing w:val="-4"/>
        </w:rPr>
        <w:t xml:space="preserve"> </w:t>
      </w:r>
      <w:r w:rsidRPr="002F20B7">
        <w:t>covered.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POs are encouraged to add</w:t>
      </w:r>
      <w:r w:rsidR="00983BCA">
        <w:t xml:space="preserve"> content to the standardized SMS </w:t>
      </w:r>
      <w:r w:rsidRPr="002F20B7">
        <w:t>course content to tailor the information which is specific for their practices. For ex.</w:t>
      </w:r>
      <w:r w:rsidR="00983BCA">
        <w:t xml:space="preserve"> Using population health related examples in self-management support lessons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For the Billing content which includes Self-Study, the in person “Sustainability and Billing” power point, and case studies</w:t>
      </w:r>
      <w:r w:rsidR="003A03A8">
        <w:t>;</w:t>
      </w:r>
      <w:r w:rsidRPr="002F20B7">
        <w:t xml:space="preserve"> the expectation is for the Trainer </w:t>
      </w:r>
      <w:r w:rsidR="003A03A8">
        <w:t>O</w:t>
      </w:r>
      <w:r w:rsidRPr="002F20B7">
        <w:t xml:space="preserve">rganization to use the MICMT billing course material with “additions only”. 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All MICM</w:t>
      </w:r>
      <w:r w:rsidR="00983BCA">
        <w:t>T SMS</w:t>
      </w:r>
      <w:r w:rsidRPr="002F20B7">
        <w:t xml:space="preserve"> standardized course objectives are to be us</w:t>
      </w:r>
      <w:r w:rsidR="00983BCA">
        <w:t>ed in the approved Statewide SMS</w:t>
      </w:r>
      <w:r w:rsidRPr="002F20B7">
        <w:t xml:space="preserve"> Trainer courses.</w:t>
      </w:r>
    </w:p>
    <w:p w:rsidR="00526EFC" w:rsidRDefault="00526EFC" w:rsidP="00906B5A">
      <w:pPr>
        <w:ind w:left="1260"/>
      </w:pPr>
      <w:r>
        <w:t xml:space="preserve"> </w:t>
      </w:r>
    </w:p>
    <w:p w:rsidR="00EB3609" w:rsidRDefault="00FF5A81" w:rsidP="00457E03">
      <w:pPr>
        <w:pStyle w:val="ListParagraph"/>
        <w:numPr>
          <w:ilvl w:val="0"/>
          <w:numId w:val="8"/>
        </w:numPr>
        <w:ind w:hanging="180"/>
      </w:pPr>
      <w:r>
        <w:t>Once you complete this document please save the document.  When you proceed to complete t</w:t>
      </w:r>
      <w:r w:rsidR="00983BCA">
        <w:t>he web based MICMT Statewide SMS</w:t>
      </w:r>
      <w:r>
        <w:t xml:space="preserve"> course Trainer Application, you will receive a prompt to upload this document.</w:t>
      </w:r>
    </w:p>
    <w:p w:rsidR="00FF5A81" w:rsidRDefault="00FF5A81" w:rsidP="00457E03">
      <w:pPr>
        <w:ind w:hanging="180"/>
      </w:pPr>
      <w:r>
        <w:t>4.  Complete t</w:t>
      </w:r>
      <w:r w:rsidR="00983BCA">
        <w:t>he web based MICMT Statewide SMS</w:t>
      </w:r>
      <w:r>
        <w:t xml:space="preserve"> course Trainer Application. </w:t>
      </w:r>
      <w:hyperlink r:id="rId11" w:tgtFrame="_blank" w:history="1">
        <w:r w:rsidR="00457E03">
          <w:rPr>
            <w:rStyle w:val="Hyperlink"/>
            <w:rFonts w:ascii="Open Sans" w:hAnsi="Open Sans"/>
            <w:b/>
            <w:bCs/>
            <w:lang w:val="en"/>
          </w:rPr>
          <w:t>Click Here</w:t>
        </w:r>
      </w:hyperlink>
    </w:p>
    <w:p w:rsidR="006270EF" w:rsidRDefault="00983BCA" w:rsidP="00457E03">
      <w:pPr>
        <w:ind w:hanging="180"/>
      </w:pPr>
      <w:r>
        <w:lastRenderedPageBreak/>
        <w:t xml:space="preserve">To view the MICMT SMS </w:t>
      </w:r>
      <w:r w:rsidR="00777AAE">
        <w:t>Statewide Trainer Application web page</w:t>
      </w:r>
      <w:r w:rsidR="00931490" w:rsidRPr="00931490">
        <w:rPr>
          <w:b/>
        </w:rPr>
        <w:t xml:space="preserve"> </w:t>
      </w:r>
      <w:hyperlink r:id="rId12" w:history="1">
        <w:r w:rsidR="00931490" w:rsidRPr="00855FA3">
          <w:rPr>
            <w:rStyle w:val="Hyperlink"/>
            <w:b/>
          </w:rPr>
          <w:t>Click Here</w:t>
        </w:r>
      </w:hyperlink>
    </w:p>
    <w:p w:rsidR="006270EF" w:rsidRDefault="006270EF" w:rsidP="00457E03">
      <w:pPr>
        <w:ind w:hanging="180"/>
      </w:pPr>
    </w:p>
    <w:p w:rsidR="006270EF" w:rsidRDefault="006270EF" w:rsidP="00EB3609"/>
    <w:p w:rsidR="006270EF" w:rsidRDefault="006270EF" w:rsidP="00EB3609"/>
    <w:p w:rsidR="006270EF" w:rsidRDefault="006270EF" w:rsidP="00EB3609"/>
    <w:p w:rsidR="006270EF" w:rsidRDefault="006270EF" w:rsidP="00EB3609"/>
    <w:p w:rsidR="006270EF" w:rsidRDefault="00777AAE" w:rsidP="00EB36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802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AE" w:rsidRDefault="00777AAE">
                            <w:r>
                              <w:t xml:space="preserve">PO/Trainer Organization 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0;width:5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N6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">
                <v:textbox style="mso-fit-shape-to-text:t">
                  <w:txbxContent>
                    <w:p w:rsidR="00777AAE" w:rsidRDefault="00777AAE">
                      <w:r>
                        <w:t xml:space="preserve">PO/Trainer Organization 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0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2692"/>
        <w:gridCol w:w="3060"/>
        <w:gridCol w:w="1710"/>
        <w:gridCol w:w="990"/>
      </w:tblGrid>
      <w:tr w:rsidR="00457411" w:rsidRPr="004A256E" w:rsidTr="00917D48">
        <w:trPr>
          <w:cantSplit/>
          <w:trHeight w:val="310"/>
          <w:tblHeader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57411" w:rsidRDefault="00457411" w:rsidP="00F621A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>MICMT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Standardized</w:t>
            </w:r>
            <w:r w:rsidR="00983BCA">
              <w:rPr>
                <w:rFonts w:eastAsia="Times New Roman" w:cs="Times New Roman"/>
                <w:b/>
                <w:sz w:val="28"/>
                <w:szCs w:val="28"/>
              </w:rPr>
              <w:t xml:space="preserve"> Self-Management Support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– Self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7411" w:rsidRPr="00904C34" w:rsidRDefault="00457411" w:rsidP="00F621A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57411" w:rsidRPr="004A256E" w:rsidTr="00917D48">
        <w:trPr>
          <w:cantSplit/>
          <w:trHeight w:val="310"/>
          <w:tblHeader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411" w:rsidRPr="007B31CD" w:rsidRDefault="00EF6C23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SMS Topic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411" w:rsidRPr="007B31CD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3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457411" w:rsidRPr="00457E03" w:rsidRDefault="00457411" w:rsidP="007B31CD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57E03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OR </w:t>
            </w:r>
          </w:p>
          <w:p w:rsidR="00457411" w:rsidRPr="007B31CD" w:rsidRDefault="00457411" w:rsidP="007B3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not adding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indicate N/A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F6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modality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your PO/ Trainer Organization will use to teach each agenda topic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2530D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Is your PO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>Trainer Organiza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-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tion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willing to share “added Content” Y/N  </w:t>
            </w:r>
          </w:p>
        </w:tc>
      </w:tr>
      <w:tr w:rsidR="00457411" w:rsidRPr="0073537B" w:rsidTr="00917D48">
        <w:trPr>
          <w:cantSplit/>
          <w:trHeight w:val="1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73537B" w:rsidRDefault="00EF6C23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Introduction to Care Management and Care Coordination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23" w:rsidRPr="0005393C" w:rsidRDefault="00EF6C23" w:rsidP="00EF6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9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Define Care Management</w:t>
            </w:r>
          </w:p>
          <w:p w:rsidR="00EF6C23" w:rsidRDefault="00EF6C23" w:rsidP="00EF6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the goals of Care Management</w:t>
            </w:r>
          </w:p>
          <w:p w:rsidR="00EF6C23" w:rsidRDefault="00EF6C23" w:rsidP="00EF6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the Triple Aim and the relationship to Care Management</w:t>
            </w:r>
          </w:p>
          <w:p w:rsidR="00457411" w:rsidRPr="00694F83" w:rsidRDefault="00EF6C23" w:rsidP="00EF6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Define the Patient Centered Medical Home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917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7411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73537B" w:rsidRDefault="00EF6C23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Social Determinants of Health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23" w:rsidRPr="00EF6C23" w:rsidRDefault="00EF6C23" w:rsidP="00EF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C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Describe how addressing social determinants of health in primary care can improve patient’s health</w:t>
            </w:r>
          </w:p>
          <w:p w:rsidR="00EF6C23" w:rsidRPr="00EF6C23" w:rsidRDefault="00EF6C23" w:rsidP="00EF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C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Learn how team members, (MAs, CHWs) can work together to address SDoH</w:t>
            </w:r>
          </w:p>
          <w:p w:rsidR="00457411" w:rsidRPr="0073537B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7411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Default="00EF6C23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Based Care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086974" w:rsidRDefault="00EF6C23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Relate 2 major trends in primary care team structure in the physician office setting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EF6C23" w:rsidRPr="004A256E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23" w:rsidRPr="004A256E" w:rsidRDefault="00EF6C23" w:rsidP="00EF6C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Patient Engagement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23" w:rsidRPr="009E5B70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4"/>
                <w:szCs w:val="24"/>
                <w:lang w:val="en"/>
              </w:rPr>
              <w:t xml:space="preserve">1. </w:t>
            </w:r>
            <w:r w:rsidRPr="009E5B70">
              <w:rPr>
                <w:rFonts w:eastAsia="Times New Roman" w:cstheme="minorHAnsi"/>
                <w:sz w:val="20"/>
                <w:szCs w:val="20"/>
                <w:lang w:val="en"/>
              </w:rPr>
              <w:t>Define Patient and Family Engagement</w:t>
            </w:r>
          </w:p>
          <w:p w:rsidR="00EF6C23" w:rsidRPr="009E5B70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2</w:t>
            </w:r>
            <w:r w:rsidRPr="009E5B70">
              <w:rPr>
                <w:rFonts w:eastAsia="Times New Roman" w:cstheme="minorHAnsi"/>
                <w:sz w:val="20"/>
                <w:szCs w:val="20"/>
                <w:lang w:val="en"/>
              </w:rPr>
              <w:t>. Describe concepts integral to patient and family engagement</w:t>
            </w:r>
          </w:p>
          <w:p w:rsidR="00EF6C23" w:rsidRPr="009E5B70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E5B70">
              <w:rPr>
                <w:rFonts w:eastAsia="Times New Roman" w:cstheme="minorHAnsi"/>
                <w:sz w:val="20"/>
                <w:szCs w:val="20"/>
                <w:lang w:val="en"/>
              </w:rPr>
              <w:t>3. List potential challenges to effective patient and family engagement</w:t>
            </w:r>
          </w:p>
          <w:p w:rsidR="00EF6C23" w:rsidRPr="009E5B70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E5B70">
              <w:rPr>
                <w:rFonts w:eastAsia="Times New Roman" w:cstheme="minorHAnsi"/>
                <w:sz w:val="20"/>
                <w:szCs w:val="20"/>
                <w:lang w:val="en"/>
              </w:rPr>
              <w:t>4. Incorporate evidence-based engagement strategies when working with patients and families</w:t>
            </w:r>
          </w:p>
          <w:p w:rsidR="00EF6C23" w:rsidRPr="009E5B70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E5B70">
              <w:rPr>
                <w:rFonts w:eastAsia="Times New Roman" w:cstheme="minorHAnsi"/>
                <w:sz w:val="20"/>
                <w:szCs w:val="20"/>
                <w:lang w:val="en"/>
              </w:rPr>
              <w:t>5. Increase awareness of the positive expected outcomes for successful patient and family engagement</w:t>
            </w:r>
          </w:p>
          <w:p w:rsidR="00EF6C23" w:rsidRPr="00086974" w:rsidRDefault="00EF6C23" w:rsidP="00EF6C23">
            <w:pPr>
              <w:numPr>
                <w:ilvl w:val="0"/>
                <w:numId w:val="21"/>
              </w:numPr>
              <w:shd w:val="clear" w:color="auto" w:fill="FDFFFD"/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23" w:rsidRPr="00C82996" w:rsidRDefault="00EF6C23" w:rsidP="00EF6C23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23" w:rsidRPr="00C82996" w:rsidRDefault="00EF6C23" w:rsidP="00EF6C2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23" w:rsidRPr="00C82996" w:rsidRDefault="00EF6C23" w:rsidP="00EF6C23"/>
        </w:tc>
      </w:tr>
      <w:tr w:rsidR="00EF6C23" w:rsidRPr="004A256E" w:rsidTr="00EF6C23">
        <w:trPr>
          <w:trHeight w:val="1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23" w:rsidRPr="004A256E" w:rsidRDefault="00EF6C23" w:rsidP="00EF6C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Health Literacy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E64527" w:rsidRDefault="00EF6C23" w:rsidP="00EF6C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health literacy effects patients ability for self-management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C82996" w:rsidRDefault="00EF6C23" w:rsidP="00EF6C23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C82996" w:rsidRDefault="00EF6C23" w:rsidP="00EF6C2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C82996" w:rsidRDefault="00EF6C23" w:rsidP="00EF6C23"/>
        </w:tc>
      </w:tr>
      <w:tr w:rsidR="00EF6C23" w:rsidRPr="004A256E" w:rsidTr="00917D48">
        <w:trPr>
          <w:trHeight w:val="43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23" w:rsidRPr="00EF6C23" w:rsidRDefault="00EF6C23" w:rsidP="00EF6C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6C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Cultural </w:t>
            </w:r>
          </w:p>
          <w:p w:rsidR="00EF6C23" w:rsidRPr="004A256E" w:rsidRDefault="00EF6C23" w:rsidP="00EF6C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6C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23" w:rsidRPr="00E53FE8" w:rsidRDefault="00EF6C23" w:rsidP="00EF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cultural competence in the healthcare setting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C82996" w:rsidRDefault="00EF6C23" w:rsidP="00EF6C23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Pr="00C82996" w:rsidRDefault="00EF6C23" w:rsidP="00EF6C2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23" w:rsidRDefault="00EF6C23" w:rsidP="00EF6C23"/>
        </w:tc>
      </w:tr>
    </w:tbl>
    <w:p w:rsidR="00E96BE6" w:rsidRDefault="00E96BE6" w:rsidP="00EB3609">
      <w:pPr>
        <w:rPr>
          <w:rFonts w:eastAsia="Times New Roman" w:cs="Times New Roman"/>
          <w:b/>
          <w:sz w:val="28"/>
          <w:szCs w:val="28"/>
        </w:rPr>
      </w:pPr>
    </w:p>
    <w:p w:rsidR="001368F5" w:rsidRDefault="001368F5" w:rsidP="00EB3609">
      <w:pPr>
        <w:rPr>
          <w:rFonts w:eastAsia="Times New Roman" w:cs="Times New Roman"/>
          <w:b/>
          <w:sz w:val="28"/>
          <w:szCs w:val="28"/>
        </w:rPr>
      </w:pPr>
    </w:p>
    <w:p w:rsidR="00983BCA" w:rsidRDefault="00983BCA" w:rsidP="00EB3609">
      <w:pPr>
        <w:rPr>
          <w:rFonts w:eastAsia="Times New Roman" w:cs="Times New Roman"/>
          <w:b/>
          <w:sz w:val="28"/>
          <w:szCs w:val="28"/>
        </w:rPr>
      </w:pPr>
    </w:p>
    <w:p w:rsidR="00983BCA" w:rsidRDefault="00983BCA" w:rsidP="00EB3609">
      <w:pPr>
        <w:rPr>
          <w:rFonts w:eastAsia="Times New Roman" w:cs="Times New Roman"/>
          <w:b/>
          <w:sz w:val="28"/>
          <w:szCs w:val="28"/>
        </w:rPr>
      </w:pPr>
    </w:p>
    <w:p w:rsidR="00983BCA" w:rsidRDefault="00983BCA" w:rsidP="00EB3609">
      <w:pPr>
        <w:rPr>
          <w:rFonts w:eastAsia="Times New Roman" w:cs="Times New Roman"/>
          <w:b/>
          <w:sz w:val="28"/>
          <w:szCs w:val="28"/>
        </w:rPr>
      </w:pPr>
    </w:p>
    <w:p w:rsidR="00983BCA" w:rsidRDefault="00983BCA" w:rsidP="00EB3609">
      <w:pPr>
        <w:rPr>
          <w:rFonts w:eastAsia="Times New Roman" w:cs="Times New Roman"/>
          <w:b/>
          <w:sz w:val="28"/>
          <w:szCs w:val="28"/>
        </w:rPr>
      </w:pPr>
    </w:p>
    <w:p w:rsidR="001368F5" w:rsidRDefault="001368F5" w:rsidP="00EB3609">
      <w:pPr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10885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2054"/>
        <w:gridCol w:w="2904"/>
        <w:gridCol w:w="1434"/>
        <w:gridCol w:w="1393"/>
      </w:tblGrid>
      <w:tr w:rsidR="00CD1E3E" w:rsidRPr="00904C34" w:rsidTr="00917D48">
        <w:trPr>
          <w:trHeight w:val="647"/>
        </w:trPr>
        <w:tc>
          <w:tcPr>
            <w:tcW w:w="94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57411" w:rsidRDefault="00457411" w:rsidP="009D2E5D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MICMT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Standardized</w:t>
            </w:r>
            <w:r w:rsidR="00983BCA">
              <w:rPr>
                <w:rFonts w:eastAsia="Times New Roman" w:cs="Times New Roman"/>
                <w:b/>
                <w:sz w:val="28"/>
                <w:szCs w:val="28"/>
              </w:rPr>
              <w:t xml:space="preserve"> Self-Management Support</w:t>
            </w: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 xml:space="preserve"> Course Agenda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– 1 Day in person</w:t>
            </w: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57411" w:rsidRPr="00904C34" w:rsidRDefault="00457411" w:rsidP="009D2E5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17D48" w:rsidRPr="00904C34" w:rsidTr="00917D48">
        <w:trPr>
          <w:trHeight w:val="2249"/>
        </w:trPr>
        <w:tc>
          <w:tcPr>
            <w:tcW w:w="3100" w:type="dxa"/>
            <w:tcBorders>
              <w:top w:val="single" w:sz="4" w:space="0" w:color="auto"/>
            </w:tcBorders>
          </w:tcPr>
          <w:p w:rsidR="00457411" w:rsidRDefault="00FD4ED0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MICMT standardized SMS </w:t>
            </w:r>
            <w:r w:rsidR="00457411" w:rsidRPr="007B31CD">
              <w:rPr>
                <w:rFonts w:eastAsia="Times New Roman" w:cstheme="minorHAnsi"/>
                <w:b/>
                <w:sz w:val="20"/>
                <w:szCs w:val="20"/>
              </w:rPr>
              <w:t>course Topic</w:t>
            </w:r>
          </w:p>
          <w:p w:rsidR="00193E74" w:rsidRPr="007B31CD" w:rsidRDefault="00193E74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457411" w:rsidRDefault="00457411" w:rsidP="007B31CD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7B31CD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</w:p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not adding content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indicate N/A 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modality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your PO/ Trainer Organization will use to teach each agenda topic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Is your PO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Trainer Organization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willing to share “added Content” Y/N  </w:t>
            </w:r>
          </w:p>
        </w:tc>
      </w:tr>
      <w:tr w:rsidR="00917D48" w:rsidRPr="00904C34" w:rsidTr="00917D48">
        <w:trPr>
          <w:trHeight w:val="2249"/>
        </w:trPr>
        <w:tc>
          <w:tcPr>
            <w:tcW w:w="3100" w:type="dxa"/>
            <w:tcBorders>
              <w:top w:val="single" w:sz="4" w:space="0" w:color="auto"/>
            </w:tcBorders>
          </w:tcPr>
          <w:p w:rsidR="00CD1E3E" w:rsidRPr="004A256E" w:rsidRDefault="00CD1E3E" w:rsidP="00CD1E3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MICMT Curriculum Course Introduction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CD1E3E" w:rsidRDefault="00080535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  <w:r w:rsidR="00CD1E3E" w:rsidRPr="00E645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Describe Michigan Institute for Care management and Transformation goals and resources available for physician office team members </w:t>
            </w:r>
          </w:p>
          <w:p w:rsidR="00CD1E3E" w:rsidRDefault="00080535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Apply b</w:t>
            </w:r>
            <w:r w:rsidR="00193E74">
              <w:rPr>
                <w:sz w:val="20"/>
                <w:szCs w:val="20"/>
              </w:rPr>
              <w:t>ehavior change to personal goals</w:t>
            </w:r>
          </w:p>
          <w:p w:rsidR="00CD1E3E" w:rsidRPr="00E64527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CD1E3E" w:rsidRPr="00917D48" w:rsidRDefault="00CD1E3E" w:rsidP="00CD1E3E"/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</w:tcPr>
          <w:p w:rsidR="00CD1E3E" w:rsidRPr="004428C1" w:rsidRDefault="00CD1E3E" w:rsidP="00CD1E3E"/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</w:tcPr>
          <w:p w:rsidR="00CD1E3E" w:rsidRPr="004428C1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080535" w:rsidP="00080535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Self-Management</w:t>
            </w:r>
          </w:p>
        </w:tc>
        <w:tc>
          <w:tcPr>
            <w:tcW w:w="2054" w:type="dxa"/>
          </w:tcPr>
          <w:p w:rsidR="00080535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 Define Self-Management</w:t>
            </w:r>
          </w:p>
          <w:p w:rsidR="00080535" w:rsidRPr="0005393C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 Describe Self-Management Support</w:t>
            </w:r>
          </w:p>
          <w:p w:rsidR="00CD1E3E" w:rsidRPr="00080535" w:rsidRDefault="00CD1E3E" w:rsidP="00080535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Pr="004428C1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080535" w:rsidP="000805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Chronic Illness and Self-Management</w:t>
            </w:r>
          </w:p>
        </w:tc>
        <w:tc>
          <w:tcPr>
            <w:tcW w:w="2054" w:type="dxa"/>
          </w:tcPr>
          <w:p w:rsidR="00CD1E3E" w:rsidRDefault="00080535" w:rsidP="0008053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Describe chronic illness care related to self-management</w:t>
            </w: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080535" w:rsidP="00080535">
            <w:pPr>
              <w:ind w:right="-194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Motivational Interviewing 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</w:tcPr>
          <w:p w:rsidR="00080535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 Provide an understanding of the MI spirit</w:t>
            </w:r>
          </w:p>
          <w:p w:rsidR="00CD1E3E" w:rsidRDefault="00080535" w:rsidP="0008053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 Illustrate how principals and applications of MI can support patient self-management</w:t>
            </w: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Pr="004428C1" w:rsidRDefault="00CD1E3E" w:rsidP="00CD1E3E"/>
        </w:tc>
      </w:tr>
      <w:tr w:rsidR="00080535" w:rsidRPr="007B31CD" w:rsidTr="00E65E0F">
        <w:tc>
          <w:tcPr>
            <w:tcW w:w="3100" w:type="dxa"/>
            <w:tcBorders>
              <w:top w:val="single" w:sz="4" w:space="0" w:color="auto"/>
            </w:tcBorders>
          </w:tcPr>
          <w:p w:rsidR="00080535" w:rsidRPr="007B31CD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Team Based Care and Self-Management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80535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Define and relate team based care to self-management support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:rsidR="00080535" w:rsidRPr="007B31CD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080535" w:rsidRPr="007B31CD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080535" w:rsidRPr="007B31CD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80535" w:rsidRPr="007B31CD" w:rsidTr="00E65E0F">
        <w:tc>
          <w:tcPr>
            <w:tcW w:w="3100" w:type="dxa"/>
            <w:tcBorders>
              <w:top w:val="single" w:sz="4" w:space="0" w:color="auto"/>
            </w:tcBorders>
          </w:tcPr>
          <w:p w:rsidR="00080535" w:rsidRDefault="00080535" w:rsidP="0008053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Action Planning and Problem Solving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80535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 Define an action plan</w:t>
            </w:r>
          </w:p>
          <w:p w:rsidR="00080535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 Describe the use of brief action planning</w:t>
            </w:r>
          </w:p>
          <w:p w:rsidR="00080535" w:rsidRPr="00C47301" w:rsidRDefault="00080535" w:rsidP="0008053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 Understand how problem solving can be helpful in addressing  barriers to care planning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:rsidR="00080535" w:rsidRPr="007B31CD" w:rsidRDefault="00080535" w:rsidP="00E65E0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080535" w:rsidRPr="007B31CD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080535" w:rsidRDefault="00080535" w:rsidP="00080535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E65E0F" w:rsidRPr="007B31CD" w:rsidTr="00917D48">
        <w:tc>
          <w:tcPr>
            <w:tcW w:w="3100" w:type="dxa"/>
            <w:tcBorders>
              <w:top w:val="single" w:sz="4" w:space="0" w:color="auto"/>
            </w:tcBorders>
          </w:tcPr>
          <w:p w:rsidR="00E65E0F" w:rsidRDefault="00E65E0F" w:rsidP="00E6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 xml:space="preserve">MICMT standardized SMS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course Topic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E65E0F" w:rsidRDefault="00E65E0F" w:rsidP="00E65E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65E0F" w:rsidRDefault="00E65E0F" w:rsidP="00E65E0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E65E0F" w:rsidRPr="00457E03" w:rsidRDefault="00E65E0F" w:rsidP="00E65E0F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57E03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OR </w:t>
            </w:r>
          </w:p>
          <w:p w:rsidR="00E65E0F" w:rsidRPr="007B31CD" w:rsidRDefault="00E65E0F" w:rsidP="00E65E0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not adding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content indicate N/A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65E0F" w:rsidRPr="007B31CD" w:rsidRDefault="00E65E0F" w:rsidP="00E65E0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modality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your PO/ Trainer Organization will use to teach each agenda topic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65E0F" w:rsidRDefault="00E65E0F" w:rsidP="00E65E0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Is your PO/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Trainer Organization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willing to share “added Content” Y/N  </w:t>
            </w:r>
          </w:p>
        </w:tc>
      </w:tr>
      <w:tr w:rsidR="00E65E0F" w:rsidRPr="00904C34" w:rsidTr="00917D48">
        <w:tc>
          <w:tcPr>
            <w:tcW w:w="3100" w:type="dxa"/>
          </w:tcPr>
          <w:p w:rsidR="00E65E0F" w:rsidRPr="00904C34" w:rsidRDefault="00E65E0F" w:rsidP="00E65E0F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Sustainability and Billing</w:t>
            </w:r>
          </w:p>
          <w:p w:rsidR="00E65E0F" w:rsidRPr="00904C34" w:rsidRDefault="00E65E0F" w:rsidP="00E65E0F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</w:rPr>
              <w:t>Payer Billing code (Handout5)</w:t>
            </w:r>
          </w:p>
          <w:p w:rsidR="00E65E0F" w:rsidRPr="00904C34" w:rsidRDefault="00E65E0F" w:rsidP="00E65E0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 xml:space="preserve">Activity </w:t>
            </w:r>
          </w:p>
          <w:p w:rsidR="00E65E0F" w:rsidRPr="00904C34" w:rsidRDefault="00E65E0F" w:rsidP="00E65E0F">
            <w:pPr>
              <w:widowControl w:val="0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Care Management Billing Scenarios (Activity 7)</w:t>
            </w:r>
          </w:p>
        </w:tc>
        <w:tc>
          <w:tcPr>
            <w:tcW w:w="2054" w:type="dxa"/>
          </w:tcPr>
          <w:p w:rsidR="00E65E0F" w:rsidRPr="00694F83" w:rsidRDefault="00E65E0F" w:rsidP="00E65E0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4F83">
              <w:rPr>
                <w:rFonts w:cstheme="minorHAnsi"/>
                <w:sz w:val="20"/>
                <w:szCs w:val="20"/>
              </w:rPr>
              <w:t>Relate care manager activities to the tracking and billing codes</w:t>
            </w:r>
          </w:p>
          <w:p w:rsidR="00E65E0F" w:rsidRPr="00694F83" w:rsidRDefault="00E65E0F" w:rsidP="00E65E0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4F83">
              <w:rPr>
                <w:rFonts w:cstheme="minorHAnsi"/>
                <w:sz w:val="20"/>
                <w:szCs w:val="20"/>
              </w:rPr>
              <w:t>Relate caseload and care management activity billing to sustainability</w:t>
            </w:r>
          </w:p>
          <w:p w:rsidR="00E65E0F" w:rsidRDefault="00E65E0F" w:rsidP="00E65E0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457E03">
              <w:rPr>
                <w:rFonts w:cstheme="minorHAnsi"/>
                <w:sz w:val="20"/>
                <w:szCs w:val="20"/>
              </w:rPr>
              <w:t>Demonstrate use of billing codes in daily care management work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E0F" w:rsidRPr="000C5A53" w:rsidRDefault="00E65E0F" w:rsidP="00E65E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E0F" w:rsidRPr="000C5A53" w:rsidRDefault="00E65E0F" w:rsidP="00E65E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E0F" w:rsidRPr="000C5A53" w:rsidRDefault="00E65E0F" w:rsidP="00E65E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5E0F" w:rsidRPr="00904C34" w:rsidTr="00917D4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0F" w:rsidRPr="00080535" w:rsidRDefault="00E65E0F" w:rsidP="00E65E0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80535">
              <w:rPr>
                <w:rFonts w:eastAsia="Times New Roman" w:cstheme="minorHAnsi"/>
                <w:b/>
                <w:bCs/>
                <w:color w:val="000000"/>
              </w:rPr>
              <w:t>Practice Session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0F" w:rsidRPr="004C0C50" w:rsidRDefault="00E65E0F" w:rsidP="00E65E0F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Demonstrate  an effective patient interaction using motivational interviewing and brief action planning</w:t>
            </w:r>
          </w:p>
        </w:tc>
        <w:tc>
          <w:tcPr>
            <w:tcW w:w="2904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  <w:p w:rsidR="00E65E0F" w:rsidRPr="000C5A53" w:rsidRDefault="00E65E0F" w:rsidP="00E65E0F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</w:tc>
      </w:tr>
      <w:tr w:rsidR="00E65E0F" w:rsidRPr="00904C34" w:rsidTr="00917D48">
        <w:tc>
          <w:tcPr>
            <w:tcW w:w="3100" w:type="dxa"/>
          </w:tcPr>
          <w:p w:rsidR="00E65E0F" w:rsidRPr="00904C34" w:rsidRDefault="00E65E0F" w:rsidP="00E65E0F">
            <w:pPr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  <w:b/>
              </w:rPr>
              <w:t>Wrap up</w:t>
            </w:r>
            <w:r w:rsidRPr="00904C34">
              <w:rPr>
                <w:rFonts w:eastAsia="Times New Roman" w:cstheme="minorHAnsi"/>
              </w:rPr>
              <w:t xml:space="preserve"> </w:t>
            </w:r>
          </w:p>
          <w:p w:rsidR="00E65E0F" w:rsidRPr="00904C34" w:rsidRDefault="00983BCA" w:rsidP="00E65E0F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MICMT Statewide SMS</w:t>
            </w:r>
            <w:r w:rsidR="00E65E0F" w:rsidRPr="00904C34">
              <w:rPr>
                <w:rFonts w:eastAsia="Times New Roman" w:cstheme="minorHAnsi"/>
              </w:rPr>
              <w:t xml:space="preserve"> Post test and evaluation</w:t>
            </w:r>
          </w:p>
          <w:p w:rsidR="00E65E0F" w:rsidRDefault="00E65E0F" w:rsidP="00983BCA">
            <w:pPr>
              <w:ind w:left="450"/>
              <w:contextualSpacing/>
              <w:rPr>
                <w:rFonts w:eastAsia="Times New Roman" w:cstheme="minorHAnsi"/>
              </w:rPr>
            </w:pPr>
          </w:p>
          <w:p w:rsidR="00E65E0F" w:rsidRPr="00E65E0F" w:rsidRDefault="00E65E0F" w:rsidP="00E65E0F">
            <w:pPr>
              <w:ind w:left="45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54" w:type="dxa"/>
          </w:tcPr>
          <w:p w:rsidR="00E65E0F" w:rsidRDefault="00E65E0F" w:rsidP="00E65E0F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  <w:p w:rsidR="00E65E0F" w:rsidRPr="000C5A53" w:rsidRDefault="00E65E0F" w:rsidP="00E65E0F">
            <w:pPr>
              <w:ind w:left="9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E65E0F" w:rsidRPr="000C5A53" w:rsidRDefault="00E65E0F" w:rsidP="00E65E0F">
            <w:pPr>
              <w:rPr>
                <w:rFonts w:eastAsia="Times New Roman" w:cstheme="minorHAnsi"/>
              </w:rPr>
            </w:pPr>
          </w:p>
        </w:tc>
      </w:tr>
    </w:tbl>
    <w:p w:rsidR="003C4019" w:rsidRDefault="003C4019" w:rsidP="00EB3609"/>
    <w:p w:rsidR="0023131D" w:rsidRDefault="00193E74"/>
    <w:sectPr w:rsidR="0023131D" w:rsidSect="00917D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A2" w:rsidRDefault="00BD2FA2" w:rsidP="00E96BE6">
      <w:pPr>
        <w:spacing w:after="0" w:line="240" w:lineRule="auto"/>
      </w:pPr>
      <w:r>
        <w:separator/>
      </w:r>
    </w:p>
  </w:endnote>
  <w:endnote w:type="continuationSeparator" w:id="0">
    <w:p w:rsidR="00BD2FA2" w:rsidRDefault="00BD2FA2" w:rsidP="00E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F" w:rsidRDefault="00E6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6636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BE6" w:rsidRPr="00E96BE6" w:rsidRDefault="00E96BE6">
        <w:pPr>
          <w:pStyle w:val="Footer"/>
          <w:jc w:val="right"/>
          <w:rPr>
            <w:sz w:val="16"/>
            <w:szCs w:val="16"/>
          </w:rPr>
        </w:pPr>
        <w:r w:rsidRPr="00E96BE6">
          <w:rPr>
            <w:sz w:val="16"/>
            <w:szCs w:val="16"/>
          </w:rPr>
          <w:fldChar w:fldCharType="begin"/>
        </w:r>
        <w:r w:rsidRPr="00E96BE6">
          <w:rPr>
            <w:sz w:val="16"/>
            <w:szCs w:val="16"/>
          </w:rPr>
          <w:instrText xml:space="preserve"> PAGE   \* MERGEFORMAT </w:instrText>
        </w:r>
        <w:r w:rsidRPr="00E96BE6">
          <w:rPr>
            <w:sz w:val="16"/>
            <w:szCs w:val="16"/>
          </w:rPr>
          <w:fldChar w:fldCharType="separate"/>
        </w:r>
        <w:r w:rsidR="00193E74">
          <w:rPr>
            <w:noProof/>
            <w:sz w:val="16"/>
            <w:szCs w:val="16"/>
          </w:rPr>
          <w:t>4</w:t>
        </w:r>
        <w:r w:rsidRPr="00E96BE6">
          <w:rPr>
            <w:noProof/>
            <w:sz w:val="16"/>
            <w:szCs w:val="16"/>
          </w:rPr>
          <w:fldChar w:fldCharType="end"/>
        </w:r>
      </w:p>
    </w:sdtContent>
  </w:sdt>
  <w:p w:rsidR="00E96BE6" w:rsidRDefault="00E65E0F" w:rsidP="00E96BE6">
    <w:pPr>
      <w:pStyle w:val="Footer"/>
      <w:rPr>
        <w:sz w:val="16"/>
        <w:szCs w:val="16"/>
      </w:rPr>
    </w:pPr>
    <w:r>
      <w:rPr>
        <w:sz w:val="16"/>
        <w:szCs w:val="16"/>
      </w:rPr>
      <w:t xml:space="preserve">MICMT SMS Curriculum Template </w:t>
    </w:r>
  </w:p>
  <w:p w:rsidR="004E6E12" w:rsidRPr="00E96BE6" w:rsidRDefault="004E6E12" w:rsidP="00E96BE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F" w:rsidRDefault="00E6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A2" w:rsidRDefault="00BD2FA2" w:rsidP="00E96BE6">
      <w:pPr>
        <w:spacing w:after="0" w:line="240" w:lineRule="auto"/>
      </w:pPr>
      <w:r>
        <w:separator/>
      </w:r>
    </w:p>
  </w:footnote>
  <w:footnote w:type="continuationSeparator" w:id="0">
    <w:p w:rsidR="00BD2FA2" w:rsidRDefault="00BD2FA2" w:rsidP="00E9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F" w:rsidRDefault="00E6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F" w:rsidRDefault="00E65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F" w:rsidRDefault="00E6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59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277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92" w:hanging="286"/>
      </w:pPr>
    </w:lvl>
    <w:lvl w:ilvl="4">
      <w:numFmt w:val="bullet"/>
      <w:lvlText w:val="•"/>
      <w:lvlJc w:val="left"/>
      <w:pPr>
        <w:ind w:left="4105" w:hanging="286"/>
      </w:pPr>
    </w:lvl>
    <w:lvl w:ilvl="5">
      <w:numFmt w:val="bullet"/>
      <w:lvlText w:val="•"/>
      <w:lvlJc w:val="left"/>
      <w:pPr>
        <w:ind w:left="5017" w:hanging="286"/>
      </w:pPr>
    </w:lvl>
    <w:lvl w:ilvl="6">
      <w:numFmt w:val="bullet"/>
      <w:lvlText w:val="•"/>
      <w:lvlJc w:val="left"/>
      <w:pPr>
        <w:ind w:left="5930" w:hanging="286"/>
      </w:pPr>
    </w:lvl>
    <w:lvl w:ilvl="7">
      <w:numFmt w:val="bullet"/>
      <w:lvlText w:val="•"/>
      <w:lvlJc w:val="left"/>
      <w:pPr>
        <w:ind w:left="6842" w:hanging="286"/>
      </w:pPr>
    </w:lvl>
    <w:lvl w:ilvl="8">
      <w:numFmt w:val="bullet"/>
      <w:lvlText w:val="•"/>
      <w:lvlJc w:val="left"/>
      <w:pPr>
        <w:ind w:left="7755" w:hanging="286"/>
      </w:pPr>
    </w:lvl>
  </w:abstractNum>
  <w:abstractNum w:abstractNumId="1" w15:restartNumberingAfterBreak="0">
    <w:nsid w:val="02634C9C"/>
    <w:multiLevelType w:val="hybridMultilevel"/>
    <w:tmpl w:val="E5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7118"/>
    <w:multiLevelType w:val="hybridMultilevel"/>
    <w:tmpl w:val="9A2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802"/>
    <w:multiLevelType w:val="hybridMultilevel"/>
    <w:tmpl w:val="52062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4E24"/>
    <w:multiLevelType w:val="hybridMultilevel"/>
    <w:tmpl w:val="F5D44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A3195"/>
    <w:multiLevelType w:val="multilevel"/>
    <w:tmpl w:val="6E0A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344DF"/>
    <w:multiLevelType w:val="hybridMultilevel"/>
    <w:tmpl w:val="62E0CA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D49A3"/>
    <w:multiLevelType w:val="hybridMultilevel"/>
    <w:tmpl w:val="47DC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24C7"/>
    <w:multiLevelType w:val="hybridMultilevel"/>
    <w:tmpl w:val="51B89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060D5"/>
    <w:multiLevelType w:val="hybridMultilevel"/>
    <w:tmpl w:val="98DA7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72416"/>
    <w:multiLevelType w:val="hybridMultilevel"/>
    <w:tmpl w:val="1670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4B83"/>
    <w:multiLevelType w:val="hybridMultilevel"/>
    <w:tmpl w:val="337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E1F1B"/>
    <w:multiLevelType w:val="hybridMultilevel"/>
    <w:tmpl w:val="056C5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E2787"/>
    <w:multiLevelType w:val="hybridMultilevel"/>
    <w:tmpl w:val="51A6D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F220B"/>
    <w:multiLevelType w:val="hybridMultilevel"/>
    <w:tmpl w:val="5566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B55EB"/>
    <w:multiLevelType w:val="hybridMultilevel"/>
    <w:tmpl w:val="BE9A9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4331F5"/>
    <w:multiLevelType w:val="hybridMultilevel"/>
    <w:tmpl w:val="800C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E35E8"/>
    <w:multiLevelType w:val="hybridMultilevel"/>
    <w:tmpl w:val="6DE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18EE"/>
    <w:multiLevelType w:val="hybridMultilevel"/>
    <w:tmpl w:val="F6AC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C35A1"/>
    <w:multiLevelType w:val="hybridMultilevel"/>
    <w:tmpl w:val="58E8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5462"/>
    <w:multiLevelType w:val="hybridMultilevel"/>
    <w:tmpl w:val="056C5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09"/>
    <w:rsid w:val="00063DBC"/>
    <w:rsid w:val="00080535"/>
    <w:rsid w:val="000877F4"/>
    <w:rsid w:val="000A5F05"/>
    <w:rsid w:val="000C5A53"/>
    <w:rsid w:val="0012794E"/>
    <w:rsid w:val="001364E2"/>
    <w:rsid w:val="001368F5"/>
    <w:rsid w:val="00193E74"/>
    <w:rsid w:val="001A4F31"/>
    <w:rsid w:val="002530DC"/>
    <w:rsid w:val="00327706"/>
    <w:rsid w:val="00361D62"/>
    <w:rsid w:val="003A03A8"/>
    <w:rsid w:val="003C4019"/>
    <w:rsid w:val="003C7E08"/>
    <w:rsid w:val="003C7EDA"/>
    <w:rsid w:val="00457411"/>
    <w:rsid w:val="00457E03"/>
    <w:rsid w:val="004A0FAB"/>
    <w:rsid w:val="004E22A5"/>
    <w:rsid w:val="004E6E12"/>
    <w:rsid w:val="00501206"/>
    <w:rsid w:val="00526EFC"/>
    <w:rsid w:val="0054026D"/>
    <w:rsid w:val="00546FD4"/>
    <w:rsid w:val="005602CB"/>
    <w:rsid w:val="006270EF"/>
    <w:rsid w:val="0066211D"/>
    <w:rsid w:val="006D1DCF"/>
    <w:rsid w:val="0074658A"/>
    <w:rsid w:val="00777AAE"/>
    <w:rsid w:val="007A68AD"/>
    <w:rsid w:val="007B31CD"/>
    <w:rsid w:val="007D0FD9"/>
    <w:rsid w:val="00855FA3"/>
    <w:rsid w:val="008653B8"/>
    <w:rsid w:val="008D6BF6"/>
    <w:rsid w:val="00906B5A"/>
    <w:rsid w:val="009148E4"/>
    <w:rsid w:val="00917D48"/>
    <w:rsid w:val="00931490"/>
    <w:rsid w:val="009404FF"/>
    <w:rsid w:val="00950A36"/>
    <w:rsid w:val="00983BCA"/>
    <w:rsid w:val="009B109D"/>
    <w:rsid w:val="009D2E5D"/>
    <w:rsid w:val="00A974BD"/>
    <w:rsid w:val="00AA151F"/>
    <w:rsid w:val="00B241BC"/>
    <w:rsid w:val="00B35342"/>
    <w:rsid w:val="00B43F93"/>
    <w:rsid w:val="00BD2FA2"/>
    <w:rsid w:val="00BF138D"/>
    <w:rsid w:val="00C62B4A"/>
    <w:rsid w:val="00CD1E3E"/>
    <w:rsid w:val="00D1683B"/>
    <w:rsid w:val="00D64A4E"/>
    <w:rsid w:val="00D66984"/>
    <w:rsid w:val="00DC0169"/>
    <w:rsid w:val="00DE1608"/>
    <w:rsid w:val="00E14007"/>
    <w:rsid w:val="00E26728"/>
    <w:rsid w:val="00E65E0F"/>
    <w:rsid w:val="00E9158A"/>
    <w:rsid w:val="00E96BE6"/>
    <w:rsid w:val="00EB3609"/>
    <w:rsid w:val="00EE6EA0"/>
    <w:rsid w:val="00EF6C23"/>
    <w:rsid w:val="00F34E92"/>
    <w:rsid w:val="00F44614"/>
    <w:rsid w:val="00F621A7"/>
    <w:rsid w:val="00FD361F"/>
    <w:rsid w:val="00FD4ED0"/>
    <w:rsid w:val="00FF44CB"/>
    <w:rsid w:val="00FF5A81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56FA"/>
  <w15:chartTrackingRefBased/>
  <w15:docId w15:val="{2114A56B-A9AC-4B0E-9806-94CEE82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3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3609"/>
    <w:rPr>
      <w:rFonts w:eastAsiaTheme="minorEastAsia"/>
    </w:rPr>
  </w:style>
  <w:style w:type="table" w:styleId="TableGrid">
    <w:name w:val="Table Grid"/>
    <w:basedOn w:val="TableNormal"/>
    <w:uiPriority w:val="39"/>
    <w:rsid w:val="003C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E6"/>
  </w:style>
  <w:style w:type="paragraph" w:styleId="Footer">
    <w:name w:val="footer"/>
    <w:basedOn w:val="Normal"/>
    <w:link w:val="FooterChar"/>
    <w:uiPriority w:val="99"/>
    <w:unhideWhenUsed/>
    <w:rsid w:val="00E9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E6"/>
  </w:style>
  <w:style w:type="paragraph" w:styleId="BalloonText">
    <w:name w:val="Balloon Text"/>
    <w:basedOn w:val="Normal"/>
    <w:link w:val="BalloonTextChar"/>
    <w:uiPriority w:val="99"/>
    <w:semiHidden/>
    <w:unhideWhenUsed/>
    <w:rsid w:val="00F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E03"/>
    <w:rPr>
      <w:strike w:val="0"/>
      <w:dstrike w:val="0"/>
      <w:color w:val="0072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57E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7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cmrc.org/self-management-support-course-statewide-trainer-organization-application-and-resourc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ich.qualtrics.com/jfe/form/SV_2gJRotTHOk1EFQ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cmrc.org/Self-management-support-self-stu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cmrc.org/sites/default/files/Self-Managment%20curriculum%20grid%20v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472C-EBF6-46E4-BA92-9068246C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Organization SMS Curriculum TEMPLATE –</vt:lpstr>
    </vt:vector>
  </TitlesOfParts>
  <Company>University of Michigan Health System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Organization SMS Curriculum TEMPLATE –</dc:title>
  <dc:subject/>
  <dc:creator>Beisel, Marie</dc:creator>
  <cp:keywords/>
  <dc:description/>
  <cp:lastModifiedBy>Fraley, Sarah</cp:lastModifiedBy>
  <cp:revision>2</cp:revision>
  <cp:lastPrinted>2019-06-10T16:33:00Z</cp:lastPrinted>
  <dcterms:created xsi:type="dcterms:W3CDTF">2019-08-28T20:24:00Z</dcterms:created>
  <dcterms:modified xsi:type="dcterms:W3CDTF">2019-08-28T20:24:00Z</dcterms:modified>
</cp:coreProperties>
</file>