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ACDB" w14:textId="4EB26D0E" w:rsidR="005832DC" w:rsidRPr="007B6EDE" w:rsidRDefault="006E477B" w:rsidP="005832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CoCM Program </w:t>
      </w:r>
      <w:r w:rsidR="001A5C6B" w:rsidRPr="007B6EDE">
        <w:rPr>
          <w:b/>
          <w:bCs/>
          <w:sz w:val="32"/>
          <w:szCs w:val="32"/>
        </w:rPr>
        <w:t>in Ambulatory Practices</w:t>
      </w:r>
    </w:p>
    <w:p w14:paraId="7293C9BE" w14:textId="77777777" w:rsidR="00697176" w:rsidRPr="007B6EDE" w:rsidRDefault="00697176" w:rsidP="00CF3070">
      <w:pPr>
        <w:rPr>
          <w:sz w:val="32"/>
          <w:szCs w:val="32"/>
        </w:rPr>
      </w:pPr>
    </w:p>
    <w:p w14:paraId="61802BE3" w14:textId="35488B23" w:rsidR="00332F20" w:rsidRDefault="00332F20" w:rsidP="00CF3070">
      <w:r w:rsidRPr="00332F20">
        <w:t xml:space="preserve">How can your team support the safest and high-level care while also reducing the </w:t>
      </w:r>
      <w:r w:rsidR="00697176" w:rsidRPr="00332F20">
        <w:t>excessive cost</w:t>
      </w:r>
      <w:r w:rsidRPr="00332F20">
        <w:t xml:space="preserve"> of care?</w:t>
      </w:r>
      <w:r>
        <w:t xml:space="preserve"> Learn about how your practice can begin </w:t>
      </w:r>
      <w:r w:rsidR="007B6EDE">
        <w:t xml:space="preserve">the </w:t>
      </w:r>
      <w:r>
        <w:t>journey with training and financial support.</w:t>
      </w:r>
    </w:p>
    <w:p w14:paraId="7D3FAFB9" w14:textId="77777777" w:rsidR="00697176" w:rsidRPr="00332F20" w:rsidRDefault="00697176" w:rsidP="00CF3070"/>
    <w:p w14:paraId="1E4A0A88" w14:textId="7A31BF2D" w:rsidR="00C71356" w:rsidRPr="00697176" w:rsidRDefault="00C71356" w:rsidP="00CF3070">
      <w:pPr>
        <w:rPr>
          <w:u w:val="single"/>
        </w:rPr>
      </w:pPr>
      <w:r w:rsidRPr="00697176">
        <w:rPr>
          <w:u w:val="single"/>
        </w:rPr>
        <w:t>Patient Centered Care</w:t>
      </w:r>
    </w:p>
    <w:p w14:paraId="2E396758" w14:textId="31A16BF5" w:rsidR="005832DC" w:rsidRDefault="00C24949" w:rsidP="00CF3070">
      <w:r>
        <w:t>CoCM</w:t>
      </w:r>
      <w:r w:rsidR="00D118D0">
        <w:t xml:space="preserve"> services support patients and practitioners to </w:t>
      </w:r>
      <w:r w:rsidR="005832DC">
        <w:t xml:space="preserve">bring </w:t>
      </w:r>
      <w:r w:rsidR="00D118D0">
        <w:t>patient centered care</w:t>
      </w:r>
      <w:r w:rsidR="005832DC">
        <w:t xml:space="preserve"> to the next level.  B</w:t>
      </w:r>
      <w:r w:rsidR="00FB2A67">
        <w:t xml:space="preserve">CBSM </w:t>
      </w:r>
      <w:r w:rsidR="00BB2B47">
        <w:t>incentiv</w:t>
      </w:r>
      <w:r w:rsidR="008B070B">
        <w:t>izes</w:t>
      </w:r>
      <w:r w:rsidR="00BB2B47">
        <w:t xml:space="preserve"> this level of care by </w:t>
      </w:r>
      <w:r w:rsidR="00D118D0">
        <w:t>reimburs</w:t>
      </w:r>
      <w:r w:rsidR="00BB2B47">
        <w:t>ing</w:t>
      </w:r>
      <w:r w:rsidR="00D118D0">
        <w:t xml:space="preserve"> practices that </w:t>
      </w:r>
      <w:r w:rsidR="00C71356">
        <w:t>takes part</w:t>
      </w:r>
      <w:r w:rsidR="00D118D0">
        <w:t xml:space="preserve"> in </w:t>
      </w:r>
      <w:r>
        <w:t>CoCM</w:t>
      </w:r>
      <w:r w:rsidR="00FB2A67">
        <w:t xml:space="preserve"> </w:t>
      </w:r>
      <w:r w:rsidR="00D118D0">
        <w:t>t</w:t>
      </w:r>
      <w:r w:rsidR="00FB2A67">
        <w:t>raining</w:t>
      </w:r>
      <w:r w:rsidR="00D118D0">
        <w:t xml:space="preserve"> offered by training partners</w:t>
      </w:r>
      <w:r w:rsidR="00BB2B47">
        <w:t>, Mi-CCSI and MCCIST</w:t>
      </w:r>
      <w:r w:rsidR="00C71356">
        <w:t xml:space="preserve">, and offers </w:t>
      </w:r>
      <w:r>
        <w:t>CoCM</w:t>
      </w:r>
      <w:r w:rsidR="00C71356">
        <w:t xml:space="preserve"> services to their patients.</w:t>
      </w:r>
      <w:r w:rsidR="00BB2B47">
        <w:t xml:space="preserve">  The</w:t>
      </w:r>
      <w:r w:rsidR="00C71356">
        <w:t xml:space="preserve"> training p</w:t>
      </w:r>
      <w:r w:rsidR="00BB2B47">
        <w:t xml:space="preserve">artners also </w:t>
      </w:r>
      <w:r w:rsidR="00D118D0">
        <w:t xml:space="preserve">offer supportive webinars to enhance </w:t>
      </w:r>
      <w:r w:rsidR="00C71356">
        <w:t xml:space="preserve">required </w:t>
      </w:r>
      <w:r w:rsidR="00D118D0">
        <w:t>training.</w:t>
      </w:r>
      <w:r w:rsidR="00BB2B47">
        <w:t xml:space="preserve"> </w:t>
      </w:r>
      <w:r w:rsidR="00C71356">
        <w:t xml:space="preserve">Excitingly, </w:t>
      </w:r>
      <w:r>
        <w:t>CoCM</w:t>
      </w:r>
      <w:r w:rsidR="00BB2B47">
        <w:t xml:space="preserve"> training is now available for practices that serve adults</w:t>
      </w:r>
      <w:r w:rsidR="00C71356">
        <w:t xml:space="preserve"> patients</w:t>
      </w:r>
      <w:r w:rsidR="00BB2B47">
        <w:t xml:space="preserve">, </w:t>
      </w:r>
      <w:r w:rsidR="00C71356">
        <w:t>pediatric patients,</w:t>
      </w:r>
      <w:r w:rsidR="00BB2B47">
        <w:t xml:space="preserve"> or both.</w:t>
      </w:r>
      <w:r w:rsidR="003D77BA">
        <w:t xml:space="preserve"> </w:t>
      </w:r>
      <w:proofErr w:type="gramStart"/>
      <w:r w:rsidR="003D77BA">
        <w:t>In order to</w:t>
      </w:r>
      <w:proofErr w:type="gramEnd"/>
      <w:r w:rsidR="003D77BA">
        <w:t xml:space="preserve"> apply for CoCM Designation you are required to have PCMH Designation.</w:t>
      </w:r>
    </w:p>
    <w:p w14:paraId="4395BDA6" w14:textId="77777777" w:rsidR="004D7C57" w:rsidRDefault="004D7C57" w:rsidP="00CF3070">
      <w:pPr>
        <w:rPr>
          <w:b/>
          <w:bCs/>
          <w:u w:val="single"/>
        </w:rPr>
      </w:pPr>
    </w:p>
    <w:p w14:paraId="268CAC0C" w14:textId="071670EF" w:rsidR="005832DC" w:rsidRPr="00697176" w:rsidRDefault="005556A3" w:rsidP="00CF3070">
      <w:pPr>
        <w:rPr>
          <w:u w:val="single"/>
        </w:rPr>
      </w:pPr>
      <w:r w:rsidRPr="00697176">
        <w:rPr>
          <w:u w:val="single"/>
        </w:rPr>
        <w:t>Co</w:t>
      </w:r>
      <w:r w:rsidR="00C24949">
        <w:rPr>
          <w:u w:val="single"/>
        </w:rPr>
        <w:t>CM</w:t>
      </w:r>
      <w:r w:rsidRPr="00697176">
        <w:rPr>
          <w:u w:val="single"/>
        </w:rPr>
        <w:t xml:space="preserve"> </w:t>
      </w:r>
      <w:r w:rsidR="005832DC" w:rsidRPr="00697176">
        <w:rPr>
          <w:u w:val="single"/>
        </w:rPr>
        <w:t>Training</w:t>
      </w:r>
    </w:p>
    <w:p w14:paraId="51A96678" w14:textId="2B318847" w:rsidR="005E4582" w:rsidRDefault="00C71356">
      <w:r>
        <w:t>BCBSM t</w:t>
      </w:r>
      <w:r w:rsidR="00BB2B47">
        <w:t xml:space="preserve">raining partners conveniently offer </w:t>
      </w:r>
      <w:r w:rsidR="00C24949">
        <w:t>CoCM</w:t>
      </w:r>
      <w:r>
        <w:t xml:space="preserve"> </w:t>
      </w:r>
      <w:r w:rsidR="00BB2B47">
        <w:t>t</w:t>
      </w:r>
      <w:r w:rsidR="00CF3070">
        <w:t>raining</w:t>
      </w:r>
      <w:r w:rsidR="00BB2B47">
        <w:t xml:space="preserve"> </w:t>
      </w:r>
      <w:r w:rsidR="00CF3070">
        <w:t>throughout the year</w:t>
      </w:r>
      <w:r w:rsidR="005556A3">
        <w:t xml:space="preserve">. </w:t>
      </w:r>
      <w:r w:rsidR="001A5C6B">
        <w:t xml:space="preserve">The partners </w:t>
      </w:r>
      <w:r w:rsidR="00697176">
        <w:t>supply</w:t>
      </w:r>
      <w:r w:rsidR="001A5C6B">
        <w:t xml:space="preserve"> the training </w:t>
      </w:r>
      <w:r>
        <w:t xml:space="preserve">virtually </w:t>
      </w:r>
      <w:r w:rsidR="001A5C6B">
        <w:t xml:space="preserve">thereby </w:t>
      </w:r>
      <w:r w:rsidR="004D7C57">
        <w:t xml:space="preserve">minimizing expenses and travel. </w:t>
      </w:r>
      <w:r w:rsidR="00CF3070">
        <w:t>Practices teams</w:t>
      </w:r>
      <w:r w:rsidR="005556A3">
        <w:t xml:space="preserve"> and </w:t>
      </w:r>
      <w:r w:rsidR="00CF3070">
        <w:t xml:space="preserve">individuals supporting those practices </w:t>
      </w:r>
      <w:r w:rsidR="004D7C57">
        <w:t xml:space="preserve">administratively or </w:t>
      </w:r>
      <w:r w:rsidR="00CF3070">
        <w:t>clinically can attend</w:t>
      </w:r>
      <w:r w:rsidR="004D7C57">
        <w:t xml:space="preserve"> as well</w:t>
      </w:r>
      <w:r w:rsidR="005556A3">
        <w:t xml:space="preserve">. Additionally, </w:t>
      </w:r>
      <w:r w:rsidR="00CF3070">
        <w:t xml:space="preserve">any new </w:t>
      </w:r>
      <w:r w:rsidR="00C24949">
        <w:t>CoCM</w:t>
      </w:r>
      <w:r w:rsidR="005556A3">
        <w:t xml:space="preserve"> </w:t>
      </w:r>
      <w:r w:rsidR="00CF3070">
        <w:t xml:space="preserve">team member that joins the </w:t>
      </w:r>
      <w:r w:rsidR="00C24949">
        <w:t>CoCM</w:t>
      </w:r>
      <w:r w:rsidR="00CF3070">
        <w:t xml:space="preserve"> team after a practice has started the program are welcome to </w:t>
      </w:r>
      <w:r w:rsidR="00BB2B47">
        <w:t>take part</w:t>
      </w:r>
      <w:r w:rsidR="005556A3">
        <w:t xml:space="preserve"> in </w:t>
      </w:r>
      <w:r w:rsidR="00697176">
        <w:t xml:space="preserve">any </w:t>
      </w:r>
      <w:r w:rsidR="005556A3">
        <w:t>training</w:t>
      </w:r>
      <w:r w:rsidR="00697176">
        <w:t xml:space="preserve"> session</w:t>
      </w:r>
      <w:r w:rsidR="00CF3070">
        <w:t>.</w:t>
      </w:r>
      <w:r w:rsidR="001A5C6B">
        <w:t xml:space="preserve"> </w:t>
      </w:r>
      <w:r w:rsidR="00E064D9">
        <w:t xml:space="preserve">Practices that wish to </w:t>
      </w:r>
      <w:r w:rsidR="00BB2B47">
        <w:t>take part</w:t>
      </w:r>
      <w:r w:rsidR="00E064D9">
        <w:t xml:space="preserve"> in BCBSM </w:t>
      </w:r>
      <w:r w:rsidR="00C24949">
        <w:t>CoCM</w:t>
      </w:r>
      <w:r w:rsidR="00E064D9">
        <w:t xml:space="preserve"> Program</w:t>
      </w:r>
      <w:r w:rsidR="00D118D0">
        <w:t xml:space="preserve"> enroll in the following training:</w:t>
      </w:r>
    </w:p>
    <w:p w14:paraId="76114C40" w14:textId="77777777" w:rsidR="001A5C6B" w:rsidRDefault="001A5C6B"/>
    <w:p w14:paraId="183520BE" w14:textId="62030F78" w:rsidR="00FB2A67" w:rsidRPr="00697176" w:rsidRDefault="00C24949" w:rsidP="00FB2A67">
      <w:pPr>
        <w:rPr>
          <w:b/>
          <w:bCs/>
          <w:i/>
          <w:iCs/>
        </w:rPr>
      </w:pPr>
      <w:r>
        <w:rPr>
          <w:b/>
          <w:bCs/>
          <w:i/>
          <w:iCs/>
        </w:rPr>
        <w:t>CoCM</w:t>
      </w:r>
      <w:r w:rsidR="00E064D9" w:rsidRPr="00697176">
        <w:rPr>
          <w:b/>
          <w:bCs/>
          <w:i/>
          <w:iCs/>
        </w:rPr>
        <w:t xml:space="preserve"> for A</w:t>
      </w:r>
      <w:r w:rsidR="00FB2A67" w:rsidRPr="00697176">
        <w:rPr>
          <w:b/>
          <w:bCs/>
          <w:i/>
          <w:iCs/>
        </w:rPr>
        <w:t>dult</w:t>
      </w:r>
      <w:r w:rsidR="002157AA">
        <w:rPr>
          <w:b/>
          <w:bCs/>
          <w:i/>
          <w:iCs/>
        </w:rPr>
        <w:t xml:space="preserve"> Populations</w:t>
      </w:r>
    </w:p>
    <w:p w14:paraId="01AF2F56" w14:textId="0F8EC70D" w:rsidR="00FB2A67" w:rsidRPr="002157AA" w:rsidRDefault="002157AA" w:rsidP="00CF3070">
      <w:pPr>
        <w:pStyle w:val="ListParagraph"/>
        <w:numPr>
          <w:ilvl w:val="0"/>
          <w:numId w:val="1"/>
        </w:numPr>
      </w:pPr>
      <w:r w:rsidRPr="002157AA">
        <w:t xml:space="preserve">CoCM </w:t>
      </w:r>
      <w:r w:rsidR="00FB2A67" w:rsidRPr="002157AA">
        <w:t>Base Training (Required)</w:t>
      </w:r>
    </w:p>
    <w:p w14:paraId="737AF20F" w14:textId="66104092" w:rsidR="00FB2A67" w:rsidRPr="002157AA" w:rsidRDefault="002157AA" w:rsidP="00CF3070">
      <w:pPr>
        <w:pStyle w:val="ListParagraph"/>
        <w:numPr>
          <w:ilvl w:val="0"/>
          <w:numId w:val="1"/>
        </w:numPr>
      </w:pPr>
      <w:r w:rsidRPr="002157AA">
        <w:t xml:space="preserve">CoCM Ongoing Webinars both </w:t>
      </w:r>
      <w:r w:rsidR="008B070B" w:rsidRPr="002157AA">
        <w:t>Operational and Clinical (</w:t>
      </w:r>
      <w:r w:rsidR="00FB2A67" w:rsidRPr="002157AA">
        <w:t>Optional)</w:t>
      </w:r>
    </w:p>
    <w:p w14:paraId="0CD89AE7" w14:textId="75C0DE6F" w:rsidR="00E064D9" w:rsidRPr="002157AA" w:rsidRDefault="00C24949" w:rsidP="00697176">
      <w:pPr>
        <w:spacing w:before="240"/>
        <w:rPr>
          <w:b/>
          <w:bCs/>
          <w:i/>
          <w:iCs/>
        </w:rPr>
      </w:pPr>
      <w:r>
        <w:rPr>
          <w:b/>
          <w:bCs/>
          <w:i/>
          <w:iCs/>
        </w:rPr>
        <w:t>CoCM</w:t>
      </w:r>
      <w:r w:rsidR="00E064D9" w:rsidRPr="002157AA">
        <w:rPr>
          <w:b/>
          <w:bCs/>
          <w:i/>
          <w:iCs/>
        </w:rPr>
        <w:t xml:space="preserve"> </w:t>
      </w:r>
      <w:r w:rsidR="00FB2A67" w:rsidRPr="002157AA">
        <w:rPr>
          <w:b/>
          <w:bCs/>
          <w:i/>
          <w:iCs/>
        </w:rPr>
        <w:t xml:space="preserve">for Adults and </w:t>
      </w:r>
      <w:r w:rsidR="00E064D9" w:rsidRPr="002157AA">
        <w:rPr>
          <w:b/>
          <w:bCs/>
          <w:i/>
          <w:iCs/>
        </w:rPr>
        <w:t>Pediatric</w:t>
      </w:r>
      <w:r w:rsidR="002157AA" w:rsidRPr="002157AA">
        <w:rPr>
          <w:b/>
          <w:bCs/>
          <w:i/>
          <w:iCs/>
        </w:rPr>
        <w:t xml:space="preserve"> Populations </w:t>
      </w:r>
      <w:r w:rsidR="00D118D0" w:rsidRPr="002157AA">
        <w:rPr>
          <w:b/>
          <w:bCs/>
          <w:i/>
          <w:iCs/>
        </w:rPr>
        <w:t>(Family</w:t>
      </w:r>
      <w:r w:rsidR="002157AA" w:rsidRPr="002157AA">
        <w:rPr>
          <w:b/>
          <w:bCs/>
          <w:i/>
          <w:iCs/>
        </w:rPr>
        <w:t xml:space="preserve">, </w:t>
      </w:r>
      <w:r w:rsidR="00697176" w:rsidRPr="002157AA">
        <w:rPr>
          <w:b/>
          <w:bCs/>
          <w:i/>
          <w:iCs/>
        </w:rPr>
        <w:t xml:space="preserve">Internal </w:t>
      </w:r>
      <w:proofErr w:type="gramStart"/>
      <w:r w:rsidR="00697176" w:rsidRPr="002157AA">
        <w:rPr>
          <w:b/>
          <w:bCs/>
          <w:i/>
          <w:iCs/>
        </w:rPr>
        <w:t>Medicine</w:t>
      </w:r>
      <w:proofErr w:type="gramEnd"/>
      <w:r w:rsidR="00697176" w:rsidRPr="002157AA">
        <w:rPr>
          <w:b/>
          <w:bCs/>
          <w:i/>
          <w:iCs/>
        </w:rPr>
        <w:t xml:space="preserve"> and Pediatrics</w:t>
      </w:r>
      <w:r w:rsidR="002157AA">
        <w:rPr>
          <w:b/>
          <w:bCs/>
          <w:i/>
          <w:iCs/>
        </w:rPr>
        <w:t xml:space="preserve">) OR </w:t>
      </w:r>
      <w:r w:rsidR="00E064D9" w:rsidRPr="002157AA">
        <w:rPr>
          <w:b/>
          <w:bCs/>
          <w:i/>
          <w:iCs/>
        </w:rPr>
        <w:t>Pediatric</w:t>
      </w:r>
      <w:r w:rsidR="002157AA">
        <w:rPr>
          <w:b/>
          <w:bCs/>
          <w:i/>
          <w:iCs/>
        </w:rPr>
        <w:t xml:space="preserve"> Populations (Pediatrics)</w:t>
      </w:r>
    </w:p>
    <w:p w14:paraId="6A3472E9" w14:textId="0BA9152E" w:rsidR="00E064D9" w:rsidRPr="002157AA" w:rsidRDefault="002157AA" w:rsidP="00CF3070">
      <w:pPr>
        <w:pStyle w:val="ListParagraph"/>
        <w:numPr>
          <w:ilvl w:val="0"/>
          <w:numId w:val="2"/>
        </w:numPr>
      </w:pPr>
      <w:r w:rsidRPr="002157AA">
        <w:t xml:space="preserve">CoCM </w:t>
      </w:r>
      <w:r w:rsidR="00E064D9" w:rsidRPr="002157AA">
        <w:t>Base Training (Required)</w:t>
      </w:r>
    </w:p>
    <w:p w14:paraId="328E828D" w14:textId="64233B3F" w:rsidR="00E064D9" w:rsidRPr="002157AA" w:rsidRDefault="002157AA" w:rsidP="00CF3070">
      <w:pPr>
        <w:pStyle w:val="ListParagraph"/>
        <w:numPr>
          <w:ilvl w:val="0"/>
          <w:numId w:val="2"/>
        </w:numPr>
      </w:pPr>
      <w:r w:rsidRPr="002157AA">
        <w:t xml:space="preserve">CoCM Adolescent </w:t>
      </w:r>
      <w:r w:rsidR="00E064D9" w:rsidRPr="002157AA">
        <w:t>Training (Required)</w:t>
      </w:r>
    </w:p>
    <w:p w14:paraId="17F03B69" w14:textId="492ED1E7" w:rsidR="00E064D9" w:rsidRPr="002157AA" w:rsidRDefault="002157AA" w:rsidP="00CF3070">
      <w:pPr>
        <w:pStyle w:val="ListParagraph"/>
        <w:numPr>
          <w:ilvl w:val="0"/>
          <w:numId w:val="2"/>
        </w:numPr>
      </w:pPr>
      <w:r w:rsidRPr="002157AA">
        <w:t>CoCM Ongoing Webinars both</w:t>
      </w:r>
      <w:r w:rsidR="006E0C87" w:rsidRPr="002157AA">
        <w:t xml:space="preserve"> Operational and Clinical</w:t>
      </w:r>
      <w:r w:rsidR="00E064D9" w:rsidRPr="002157AA">
        <w:t xml:space="preserve"> (Optional)</w:t>
      </w:r>
    </w:p>
    <w:p w14:paraId="70F7585C" w14:textId="5E996407" w:rsidR="00E064D9" w:rsidRDefault="002157AA" w:rsidP="00CF3070">
      <w:pPr>
        <w:pStyle w:val="ListParagraph"/>
        <w:numPr>
          <w:ilvl w:val="0"/>
          <w:numId w:val="2"/>
        </w:numPr>
      </w:pPr>
      <w:r w:rsidRPr="002157AA">
        <w:t xml:space="preserve">CoCM Ongoing </w:t>
      </w:r>
      <w:r w:rsidR="006E0C87" w:rsidRPr="002157AA">
        <w:t xml:space="preserve">Adolescent </w:t>
      </w:r>
      <w:r w:rsidR="00E064D9" w:rsidRPr="002157AA">
        <w:t>Webinars (Optional)</w:t>
      </w:r>
    </w:p>
    <w:p w14:paraId="3D9F4C11" w14:textId="77777777" w:rsidR="002157AA" w:rsidRPr="002157AA" w:rsidRDefault="002157AA" w:rsidP="002157AA"/>
    <w:p w14:paraId="44552CA2" w14:textId="54707E5C" w:rsidR="005832DC" w:rsidRPr="00697176" w:rsidRDefault="00C24949" w:rsidP="00FB2A67">
      <w:pPr>
        <w:rPr>
          <w:u w:val="single"/>
        </w:rPr>
      </w:pPr>
      <w:r>
        <w:rPr>
          <w:u w:val="single"/>
        </w:rPr>
        <w:t>CoCM</w:t>
      </w:r>
      <w:r w:rsidR="005556A3" w:rsidRPr="00697176">
        <w:rPr>
          <w:u w:val="single"/>
        </w:rPr>
        <w:t xml:space="preserve"> </w:t>
      </w:r>
      <w:r w:rsidR="005832DC" w:rsidRPr="00697176">
        <w:rPr>
          <w:u w:val="single"/>
        </w:rPr>
        <w:t>Training Prerequisite</w:t>
      </w:r>
      <w:r w:rsidR="002157AA">
        <w:rPr>
          <w:u w:val="single"/>
        </w:rPr>
        <w:t>s</w:t>
      </w:r>
    </w:p>
    <w:p w14:paraId="6EDA66A9" w14:textId="7CD81505" w:rsidR="001A5C6B" w:rsidRDefault="00E064D9" w:rsidP="001A5C6B">
      <w:r>
        <w:t xml:space="preserve">Prior to Training, </w:t>
      </w:r>
      <w:r w:rsidR="00C71356">
        <w:t xml:space="preserve">a </w:t>
      </w:r>
      <w:r>
        <w:t xml:space="preserve">practice must </w:t>
      </w:r>
      <w:r w:rsidR="005556A3">
        <w:t xml:space="preserve">complete </w:t>
      </w:r>
      <w:r>
        <w:t>the following assessments</w:t>
      </w:r>
      <w:r w:rsidR="00697176">
        <w:t xml:space="preserve"> to ensure the right level of supports are in place to be successful</w:t>
      </w:r>
      <w:r w:rsidR="001A5C6B">
        <w:t>.</w:t>
      </w:r>
      <w:r w:rsidR="001A5C6B" w:rsidRPr="001A5C6B">
        <w:t xml:space="preserve"> </w:t>
      </w:r>
      <w:r w:rsidR="001A5C6B">
        <w:t>BCBSM Training Partners review assessments and can help with questions.</w:t>
      </w:r>
    </w:p>
    <w:p w14:paraId="176B544A" w14:textId="0D937562" w:rsidR="00E064D9" w:rsidRDefault="00E064D9" w:rsidP="005832DC">
      <w:pPr>
        <w:pStyle w:val="ListParagraph"/>
        <w:numPr>
          <w:ilvl w:val="0"/>
          <w:numId w:val="3"/>
        </w:numPr>
      </w:pPr>
      <w:r>
        <w:t>PO Assessment (one per PO</w:t>
      </w:r>
      <w:r w:rsidR="005556A3">
        <w:t xml:space="preserve"> and usually completed by PO team</w:t>
      </w:r>
      <w:r>
        <w:t>)</w:t>
      </w:r>
    </w:p>
    <w:p w14:paraId="52ADF45E" w14:textId="24790C7F" w:rsidR="00E064D9" w:rsidRDefault="00E064D9" w:rsidP="005832DC">
      <w:pPr>
        <w:pStyle w:val="ListParagraph"/>
        <w:numPr>
          <w:ilvl w:val="0"/>
          <w:numId w:val="3"/>
        </w:numPr>
      </w:pPr>
      <w:r>
        <w:t>Practice Assessment (participating practice)</w:t>
      </w:r>
    </w:p>
    <w:p w14:paraId="06CFB568" w14:textId="142D636E" w:rsidR="00B64369" w:rsidRDefault="001A5C6B" w:rsidP="005832DC">
      <w:r>
        <w:lastRenderedPageBreak/>
        <w:t xml:space="preserve">The following </w:t>
      </w:r>
      <w:r w:rsidR="004D7C57">
        <w:t>gr</w:t>
      </w:r>
      <w:r w:rsidR="00B64369">
        <w:t>aphic</w:t>
      </w:r>
      <w:r w:rsidR="004D7C57">
        <w:t xml:space="preserve"> </w:t>
      </w:r>
      <w:r w:rsidR="00210046">
        <w:t>summarizes</w:t>
      </w:r>
      <w:r w:rsidR="004D7C57">
        <w:t xml:space="preserve"> the </w:t>
      </w:r>
      <w:r w:rsidR="00BB04A6">
        <w:t xml:space="preserve">above </w:t>
      </w:r>
      <w:r w:rsidR="00181BB3">
        <w:t>steps:</w:t>
      </w:r>
    </w:p>
    <w:p w14:paraId="1F916F7A" w14:textId="1B07013F" w:rsidR="00B64369" w:rsidRDefault="00606BCF" w:rsidP="005832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25E71" wp14:editId="3181E295">
                <wp:simplePos x="0" y="0"/>
                <wp:positionH relativeFrom="column">
                  <wp:posOffset>1905</wp:posOffset>
                </wp:positionH>
                <wp:positionV relativeFrom="paragraph">
                  <wp:posOffset>687705</wp:posOffset>
                </wp:positionV>
                <wp:extent cx="6371590" cy="4000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E1A13" id="Rectangle 1" o:spid="_x0000_s1026" style="position:absolute;margin-left:.15pt;margin-top:54.15pt;width:501.7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" fillcolor="#f2f2f2 [3052]" stroked="f" strokeweight="1pt"/>
            </w:pict>
          </mc:Fallback>
        </mc:AlternateContent>
      </w:r>
      <w:r w:rsidR="00B968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F9E40" wp14:editId="29BEB246">
                <wp:simplePos x="0" y="0"/>
                <wp:positionH relativeFrom="column">
                  <wp:posOffset>1905</wp:posOffset>
                </wp:positionH>
                <wp:positionV relativeFrom="paragraph">
                  <wp:posOffset>3840480</wp:posOffset>
                </wp:positionV>
                <wp:extent cx="6371590" cy="9048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904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F9541" id="Rectangle 3" o:spid="_x0000_s1026" style="position:absolute;margin-left:.15pt;margin-top:302.4pt;width:501.7pt;height:7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" fillcolor="#f2f2f2" stroked="f" strokeweight="1pt"/>
            </w:pict>
          </mc:Fallback>
        </mc:AlternateContent>
      </w:r>
      <w:r w:rsidR="00B64369">
        <w:rPr>
          <w:noProof/>
        </w:rPr>
        <w:drawing>
          <wp:inline distT="0" distB="0" distL="0" distR="0" wp14:anchorId="167DFD8E" wp14:editId="1969F781">
            <wp:extent cx="6372014" cy="4686300"/>
            <wp:effectExtent l="0" t="0" r="0" b="0"/>
            <wp:docPr id="2" name="Picture 2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abl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371" cy="469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54B35" w14:textId="77777777" w:rsidR="00E64FF8" w:rsidRDefault="00E64FF8" w:rsidP="005832DC">
      <w:r>
        <w:t>The following groups attend the training:</w:t>
      </w:r>
    </w:p>
    <w:tbl>
      <w:tblPr>
        <w:tblStyle w:val="TableGrid"/>
        <w:tblW w:w="9444" w:type="dxa"/>
        <w:tblInd w:w="541" w:type="dxa"/>
        <w:tblLook w:val="04A0" w:firstRow="1" w:lastRow="0" w:firstColumn="1" w:lastColumn="0" w:noHBand="0" w:noVBand="1"/>
      </w:tblPr>
      <w:tblGrid>
        <w:gridCol w:w="3594"/>
        <w:gridCol w:w="2970"/>
        <w:gridCol w:w="2880"/>
      </w:tblGrid>
      <w:tr w:rsidR="00210046" w14:paraId="0C706E98" w14:textId="77777777" w:rsidTr="00C24949">
        <w:trPr>
          <w:trHeight w:val="288"/>
        </w:trPr>
        <w:tc>
          <w:tcPr>
            <w:tcW w:w="3594" w:type="dxa"/>
            <w:tcBorders>
              <w:bottom w:val="single" w:sz="4" w:space="0" w:color="auto"/>
            </w:tcBorders>
            <w:shd w:val="clear" w:color="auto" w:fill="0070C0"/>
          </w:tcPr>
          <w:p w14:paraId="105BA334" w14:textId="37C73DC1" w:rsidR="00E64FF8" w:rsidRPr="00AD2DDA" w:rsidRDefault="00AD2DDA" w:rsidP="005832DC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Attendee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0070C0"/>
          </w:tcPr>
          <w:p w14:paraId="2690BFB5" w14:textId="7CF93894" w:rsidR="00E64FF8" w:rsidRPr="00AD2DDA" w:rsidRDefault="00E64FF8" w:rsidP="00AD2DD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D2DDA">
              <w:rPr>
                <w:b/>
                <w:bCs/>
                <w:color w:val="FFFFFF" w:themeColor="background1"/>
                <w:sz w:val="32"/>
                <w:szCs w:val="32"/>
              </w:rPr>
              <w:t>Bas</w:t>
            </w:r>
            <w:r w:rsidR="00B968DC">
              <w:rPr>
                <w:b/>
                <w:bCs/>
                <w:color w:val="FFFFFF" w:themeColor="background1"/>
                <w:sz w:val="32"/>
                <w:szCs w:val="32"/>
              </w:rPr>
              <w:t>e</w:t>
            </w:r>
            <w:r w:rsidRPr="00AD2DDA">
              <w:rPr>
                <w:b/>
                <w:bCs/>
                <w:color w:val="FFFFFF" w:themeColor="background1"/>
                <w:sz w:val="32"/>
                <w:szCs w:val="32"/>
              </w:rPr>
              <w:t xml:space="preserve"> Training</w:t>
            </w:r>
            <w:r w:rsidR="00AD2DDA" w:rsidRPr="00210046">
              <w:rPr>
                <w:b/>
                <w:bCs/>
                <w:color w:val="FFFFFF" w:themeColor="background1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0070C0"/>
          </w:tcPr>
          <w:p w14:paraId="1A1756FA" w14:textId="64B56685" w:rsidR="00E64FF8" w:rsidRPr="00AD2DDA" w:rsidRDefault="00E64FF8" w:rsidP="00AD2DD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D2DDA">
              <w:rPr>
                <w:b/>
                <w:bCs/>
                <w:color w:val="FFFFFF" w:themeColor="background1"/>
                <w:sz w:val="32"/>
                <w:szCs w:val="32"/>
              </w:rPr>
              <w:t>Webinars</w:t>
            </w:r>
            <w:r w:rsidR="00210046" w:rsidRPr="00210046">
              <w:rPr>
                <w:b/>
                <w:bCs/>
                <w:color w:val="FFFFFF" w:themeColor="background1"/>
                <w:sz w:val="32"/>
                <w:szCs w:val="32"/>
                <w:vertAlign w:val="superscript"/>
              </w:rPr>
              <w:t>3</w:t>
            </w:r>
          </w:p>
        </w:tc>
      </w:tr>
      <w:tr w:rsidR="00C24949" w14:paraId="6F763F4E" w14:textId="77777777" w:rsidTr="00C24949">
        <w:trPr>
          <w:trHeight w:val="288"/>
        </w:trPr>
        <w:tc>
          <w:tcPr>
            <w:tcW w:w="3594" w:type="dxa"/>
            <w:tcBorders>
              <w:right w:val="nil"/>
            </w:tcBorders>
            <w:shd w:val="clear" w:color="auto" w:fill="F2F2F2" w:themeFill="background1" w:themeFillShade="F2"/>
          </w:tcPr>
          <w:p w14:paraId="0D40B01D" w14:textId="535D7AC1" w:rsidR="00C24949" w:rsidRPr="00C24949" w:rsidRDefault="00C24949" w:rsidP="005832DC">
            <w:pPr>
              <w:rPr>
                <w:b/>
                <w:bCs/>
                <w:sz w:val="24"/>
                <w:szCs w:val="24"/>
              </w:rPr>
            </w:pPr>
            <w:r w:rsidRPr="00C24949">
              <w:rPr>
                <w:b/>
                <w:bCs/>
                <w:color w:val="FF0000"/>
                <w:sz w:val="24"/>
                <w:szCs w:val="24"/>
              </w:rPr>
              <w:t>Required to Attend</w:t>
            </w: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B0FF63" w14:textId="77777777" w:rsidR="00C24949" w:rsidRPr="00210046" w:rsidRDefault="00C24949" w:rsidP="00AD2DD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F2F2F2" w:themeFill="background1" w:themeFillShade="F2"/>
          </w:tcPr>
          <w:p w14:paraId="72422AF0" w14:textId="77777777" w:rsidR="00C24949" w:rsidRDefault="00C24949" w:rsidP="00181BB3">
            <w:pPr>
              <w:jc w:val="center"/>
              <w:rPr>
                <w:sz w:val="24"/>
                <w:szCs w:val="24"/>
              </w:rPr>
            </w:pPr>
          </w:p>
        </w:tc>
      </w:tr>
      <w:tr w:rsidR="00E64FF8" w14:paraId="7E56B3BD" w14:textId="77777777" w:rsidTr="00210046">
        <w:trPr>
          <w:trHeight w:val="288"/>
        </w:trPr>
        <w:tc>
          <w:tcPr>
            <w:tcW w:w="3594" w:type="dxa"/>
          </w:tcPr>
          <w:p w14:paraId="504F726B" w14:textId="171A6447" w:rsidR="00E64FF8" w:rsidRPr="00210046" w:rsidRDefault="00E64FF8" w:rsidP="005832DC">
            <w:pPr>
              <w:rPr>
                <w:sz w:val="24"/>
                <w:szCs w:val="24"/>
              </w:rPr>
            </w:pPr>
            <w:r w:rsidRPr="00210046">
              <w:rPr>
                <w:sz w:val="24"/>
                <w:szCs w:val="24"/>
              </w:rPr>
              <w:t>PCP Champ</w:t>
            </w:r>
            <w:r w:rsidR="00C24949">
              <w:rPr>
                <w:sz w:val="24"/>
                <w:szCs w:val="24"/>
              </w:rPr>
              <w:t>ion</w:t>
            </w:r>
          </w:p>
        </w:tc>
        <w:tc>
          <w:tcPr>
            <w:tcW w:w="2970" w:type="dxa"/>
          </w:tcPr>
          <w:p w14:paraId="12E54B5D" w14:textId="6DD36CC5" w:rsidR="00E64FF8" w:rsidRPr="00210046" w:rsidRDefault="00E64FF8" w:rsidP="00AD2DDA">
            <w:pPr>
              <w:rPr>
                <w:sz w:val="24"/>
                <w:szCs w:val="24"/>
              </w:rPr>
            </w:pPr>
            <w:r w:rsidRPr="00210046">
              <w:rPr>
                <w:sz w:val="24"/>
                <w:szCs w:val="24"/>
              </w:rPr>
              <w:t>Day 1 AM</w:t>
            </w:r>
          </w:p>
        </w:tc>
        <w:tc>
          <w:tcPr>
            <w:tcW w:w="2880" w:type="dxa"/>
          </w:tcPr>
          <w:p w14:paraId="0188F61F" w14:textId="7D941ADD" w:rsidR="00E64FF8" w:rsidRPr="00210046" w:rsidRDefault="00181BB3" w:rsidP="00181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</w:tr>
      <w:tr w:rsidR="00E64FF8" w14:paraId="63FF9666" w14:textId="77777777" w:rsidTr="00210046">
        <w:trPr>
          <w:trHeight w:val="288"/>
        </w:trPr>
        <w:tc>
          <w:tcPr>
            <w:tcW w:w="3594" w:type="dxa"/>
          </w:tcPr>
          <w:p w14:paraId="5F3A4781" w14:textId="16C5AF33" w:rsidR="00E64FF8" w:rsidRPr="00210046" w:rsidRDefault="00E64FF8" w:rsidP="005832DC">
            <w:pPr>
              <w:rPr>
                <w:sz w:val="24"/>
                <w:szCs w:val="24"/>
              </w:rPr>
            </w:pPr>
            <w:r w:rsidRPr="00210046">
              <w:rPr>
                <w:sz w:val="24"/>
                <w:szCs w:val="24"/>
              </w:rPr>
              <w:t>Psych Consultant</w:t>
            </w:r>
          </w:p>
        </w:tc>
        <w:tc>
          <w:tcPr>
            <w:tcW w:w="2970" w:type="dxa"/>
          </w:tcPr>
          <w:p w14:paraId="59D6102E" w14:textId="7ECE3046" w:rsidR="00E64FF8" w:rsidRPr="00210046" w:rsidRDefault="00E64FF8" w:rsidP="00AD2DDA">
            <w:pPr>
              <w:rPr>
                <w:sz w:val="24"/>
                <w:szCs w:val="24"/>
              </w:rPr>
            </w:pPr>
            <w:r w:rsidRPr="00210046">
              <w:rPr>
                <w:sz w:val="24"/>
                <w:szCs w:val="24"/>
              </w:rPr>
              <w:t>Day 1 AM</w:t>
            </w:r>
          </w:p>
        </w:tc>
        <w:tc>
          <w:tcPr>
            <w:tcW w:w="2880" w:type="dxa"/>
          </w:tcPr>
          <w:p w14:paraId="04379945" w14:textId="16D32965" w:rsidR="00E64FF8" w:rsidRPr="00210046" w:rsidRDefault="00181BB3" w:rsidP="00181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</w:tr>
      <w:tr w:rsidR="00E64FF8" w14:paraId="336FD929" w14:textId="77777777" w:rsidTr="00C24949">
        <w:trPr>
          <w:trHeight w:val="288"/>
        </w:trPr>
        <w:tc>
          <w:tcPr>
            <w:tcW w:w="3594" w:type="dxa"/>
            <w:tcBorders>
              <w:bottom w:val="single" w:sz="4" w:space="0" w:color="auto"/>
            </w:tcBorders>
          </w:tcPr>
          <w:p w14:paraId="5F39B8F2" w14:textId="1289F58B" w:rsidR="00E64FF8" w:rsidRPr="00210046" w:rsidRDefault="00E64FF8" w:rsidP="005832DC">
            <w:pPr>
              <w:rPr>
                <w:sz w:val="24"/>
                <w:szCs w:val="24"/>
              </w:rPr>
            </w:pPr>
            <w:r w:rsidRPr="00210046">
              <w:rPr>
                <w:sz w:val="24"/>
                <w:szCs w:val="24"/>
              </w:rPr>
              <w:t xml:space="preserve">BHCM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478F95A" w14:textId="6A1D484F" w:rsidR="00E64FF8" w:rsidRPr="00210046" w:rsidRDefault="00E64FF8" w:rsidP="00AD2DDA">
            <w:pPr>
              <w:rPr>
                <w:sz w:val="24"/>
                <w:szCs w:val="24"/>
              </w:rPr>
            </w:pPr>
            <w:r w:rsidRPr="00210046">
              <w:rPr>
                <w:sz w:val="24"/>
                <w:szCs w:val="24"/>
              </w:rPr>
              <w:t>Day 1, 2, 3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002B893" w14:textId="6D265582" w:rsidR="00E64FF8" w:rsidRPr="00210046" w:rsidRDefault="00AD2DDA" w:rsidP="00181BB3">
            <w:pPr>
              <w:jc w:val="center"/>
              <w:rPr>
                <w:sz w:val="24"/>
                <w:szCs w:val="24"/>
              </w:rPr>
            </w:pPr>
            <w:r w:rsidRPr="00210046">
              <w:rPr>
                <w:sz w:val="24"/>
                <w:szCs w:val="24"/>
              </w:rPr>
              <w:t>Optional</w:t>
            </w:r>
          </w:p>
        </w:tc>
      </w:tr>
      <w:tr w:rsidR="00C24949" w:rsidRPr="00C24949" w14:paraId="7610A566" w14:textId="77777777" w:rsidTr="00C24949">
        <w:trPr>
          <w:trHeight w:val="288"/>
        </w:trPr>
        <w:tc>
          <w:tcPr>
            <w:tcW w:w="3594" w:type="dxa"/>
            <w:tcBorders>
              <w:right w:val="nil"/>
            </w:tcBorders>
            <w:shd w:val="clear" w:color="auto" w:fill="F2F2F2" w:themeFill="background1" w:themeFillShade="F2"/>
          </w:tcPr>
          <w:p w14:paraId="0813DB7B" w14:textId="564DF1D3" w:rsidR="00C24949" w:rsidRPr="00C24949" w:rsidRDefault="00C24949" w:rsidP="00181BB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24949">
              <w:rPr>
                <w:b/>
                <w:bCs/>
                <w:color w:val="FF0000"/>
                <w:sz w:val="24"/>
                <w:szCs w:val="24"/>
              </w:rPr>
              <w:t>Recommended to Attend</w:t>
            </w: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D7AFA8" w14:textId="77777777" w:rsidR="00C24949" w:rsidRPr="00C24949" w:rsidRDefault="00C24949" w:rsidP="00181BB3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F2F2F2" w:themeFill="background1" w:themeFillShade="F2"/>
          </w:tcPr>
          <w:p w14:paraId="797AC626" w14:textId="77777777" w:rsidR="00C24949" w:rsidRPr="00C24949" w:rsidRDefault="00C24949" w:rsidP="00181BB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81BB3" w14:paraId="33C52FB6" w14:textId="77777777" w:rsidTr="00210046">
        <w:trPr>
          <w:trHeight w:val="288"/>
        </w:trPr>
        <w:tc>
          <w:tcPr>
            <w:tcW w:w="3594" w:type="dxa"/>
          </w:tcPr>
          <w:p w14:paraId="64EADA2D" w14:textId="719A8D5C" w:rsidR="00181BB3" w:rsidRPr="00210046" w:rsidRDefault="00181BB3" w:rsidP="00181BB3">
            <w:pPr>
              <w:rPr>
                <w:sz w:val="24"/>
                <w:szCs w:val="24"/>
              </w:rPr>
            </w:pPr>
            <w:r w:rsidRPr="00210046">
              <w:rPr>
                <w:sz w:val="24"/>
                <w:szCs w:val="24"/>
              </w:rPr>
              <w:t>BHCM Supervisor</w:t>
            </w:r>
          </w:p>
        </w:tc>
        <w:tc>
          <w:tcPr>
            <w:tcW w:w="2970" w:type="dxa"/>
          </w:tcPr>
          <w:p w14:paraId="20C0D9D9" w14:textId="79C1CB53" w:rsidR="00181BB3" w:rsidRPr="00210046" w:rsidRDefault="00181BB3" w:rsidP="00181BB3">
            <w:pPr>
              <w:rPr>
                <w:sz w:val="24"/>
                <w:szCs w:val="24"/>
              </w:rPr>
            </w:pPr>
            <w:r w:rsidRPr="00210046">
              <w:rPr>
                <w:sz w:val="24"/>
                <w:szCs w:val="24"/>
              </w:rPr>
              <w:t>Day 1, 2, 3</w:t>
            </w:r>
          </w:p>
        </w:tc>
        <w:tc>
          <w:tcPr>
            <w:tcW w:w="2880" w:type="dxa"/>
          </w:tcPr>
          <w:p w14:paraId="21722A15" w14:textId="768640B2" w:rsidR="00181BB3" w:rsidRPr="00210046" w:rsidRDefault="00181BB3" w:rsidP="00181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</w:tr>
      <w:tr w:rsidR="00181BB3" w14:paraId="49CEA737" w14:textId="77777777" w:rsidTr="00210046">
        <w:trPr>
          <w:trHeight w:val="288"/>
        </w:trPr>
        <w:tc>
          <w:tcPr>
            <w:tcW w:w="3594" w:type="dxa"/>
          </w:tcPr>
          <w:p w14:paraId="2EC428EB" w14:textId="0A48D980" w:rsidR="00181BB3" w:rsidRPr="00210046" w:rsidRDefault="00181BB3" w:rsidP="00181BB3">
            <w:pPr>
              <w:rPr>
                <w:sz w:val="24"/>
                <w:szCs w:val="24"/>
              </w:rPr>
            </w:pPr>
            <w:r w:rsidRPr="00210046">
              <w:rPr>
                <w:sz w:val="24"/>
                <w:szCs w:val="24"/>
              </w:rPr>
              <w:t xml:space="preserve">Office Manager </w:t>
            </w:r>
          </w:p>
        </w:tc>
        <w:tc>
          <w:tcPr>
            <w:tcW w:w="2970" w:type="dxa"/>
          </w:tcPr>
          <w:p w14:paraId="36628402" w14:textId="3057441F" w:rsidR="00181BB3" w:rsidRPr="00210046" w:rsidRDefault="00181BB3" w:rsidP="00181BB3">
            <w:pPr>
              <w:rPr>
                <w:sz w:val="24"/>
                <w:szCs w:val="24"/>
              </w:rPr>
            </w:pPr>
            <w:r w:rsidRPr="00210046">
              <w:rPr>
                <w:sz w:val="24"/>
                <w:szCs w:val="24"/>
              </w:rPr>
              <w:t>Day 1 AM</w:t>
            </w:r>
          </w:p>
        </w:tc>
        <w:tc>
          <w:tcPr>
            <w:tcW w:w="2880" w:type="dxa"/>
          </w:tcPr>
          <w:p w14:paraId="7C6F02E3" w14:textId="176CEB42" w:rsidR="00181BB3" w:rsidRPr="00210046" w:rsidRDefault="00181BB3" w:rsidP="00181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</w:tr>
      <w:tr w:rsidR="00C24949" w14:paraId="39B6F69A" w14:textId="77777777" w:rsidTr="00210046">
        <w:trPr>
          <w:trHeight w:val="288"/>
        </w:trPr>
        <w:tc>
          <w:tcPr>
            <w:tcW w:w="3594" w:type="dxa"/>
          </w:tcPr>
          <w:p w14:paraId="1081DDCB" w14:textId="60DBF38C" w:rsidR="00C24949" w:rsidRPr="00210046" w:rsidRDefault="00C24949" w:rsidP="0018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Champion</w:t>
            </w:r>
          </w:p>
        </w:tc>
        <w:tc>
          <w:tcPr>
            <w:tcW w:w="2970" w:type="dxa"/>
          </w:tcPr>
          <w:p w14:paraId="61267076" w14:textId="7BDF0A6A" w:rsidR="00C24949" w:rsidRPr="00210046" w:rsidRDefault="00C24949" w:rsidP="0018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1</w:t>
            </w:r>
          </w:p>
        </w:tc>
        <w:tc>
          <w:tcPr>
            <w:tcW w:w="2880" w:type="dxa"/>
          </w:tcPr>
          <w:p w14:paraId="1AB55628" w14:textId="60BBF1AA" w:rsidR="00C24949" w:rsidRDefault="00C24949" w:rsidP="00181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</w:tr>
      <w:tr w:rsidR="00181BB3" w14:paraId="2FA61337" w14:textId="77777777" w:rsidTr="00210046">
        <w:trPr>
          <w:trHeight w:val="288"/>
        </w:trPr>
        <w:tc>
          <w:tcPr>
            <w:tcW w:w="3594" w:type="dxa"/>
          </w:tcPr>
          <w:p w14:paraId="17F1C06D" w14:textId="1E2AD6C2" w:rsidR="00181BB3" w:rsidRPr="00210046" w:rsidRDefault="00181BB3" w:rsidP="00181BB3">
            <w:pPr>
              <w:rPr>
                <w:sz w:val="24"/>
                <w:szCs w:val="24"/>
              </w:rPr>
            </w:pPr>
            <w:r w:rsidRPr="00210046">
              <w:rPr>
                <w:sz w:val="24"/>
                <w:szCs w:val="24"/>
              </w:rPr>
              <w:t>Quality Lead</w:t>
            </w:r>
            <w:r w:rsidRPr="0021004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70" w:type="dxa"/>
          </w:tcPr>
          <w:p w14:paraId="306FC81A" w14:textId="223E54D3" w:rsidR="00181BB3" w:rsidRPr="00210046" w:rsidRDefault="00181BB3" w:rsidP="00181BB3">
            <w:pPr>
              <w:rPr>
                <w:sz w:val="24"/>
                <w:szCs w:val="24"/>
              </w:rPr>
            </w:pPr>
            <w:r w:rsidRPr="00210046">
              <w:rPr>
                <w:sz w:val="24"/>
                <w:szCs w:val="24"/>
              </w:rPr>
              <w:t>Day 1</w:t>
            </w:r>
          </w:p>
        </w:tc>
        <w:tc>
          <w:tcPr>
            <w:tcW w:w="2880" w:type="dxa"/>
          </w:tcPr>
          <w:p w14:paraId="4B5C5141" w14:textId="488A0523" w:rsidR="00181BB3" w:rsidRPr="00210046" w:rsidRDefault="00181BB3" w:rsidP="00181BB3">
            <w:pPr>
              <w:jc w:val="center"/>
              <w:rPr>
                <w:sz w:val="24"/>
                <w:szCs w:val="24"/>
              </w:rPr>
            </w:pPr>
            <w:r w:rsidRPr="00210046">
              <w:rPr>
                <w:sz w:val="24"/>
                <w:szCs w:val="24"/>
              </w:rPr>
              <w:t>Optional</w:t>
            </w:r>
          </w:p>
        </w:tc>
      </w:tr>
      <w:tr w:rsidR="00181BB3" w14:paraId="14EE5919" w14:textId="77777777" w:rsidTr="00210046">
        <w:trPr>
          <w:trHeight w:val="288"/>
        </w:trPr>
        <w:tc>
          <w:tcPr>
            <w:tcW w:w="3594" w:type="dxa"/>
          </w:tcPr>
          <w:p w14:paraId="113BEE57" w14:textId="6C7D8D2B" w:rsidR="00181BB3" w:rsidRPr="00210046" w:rsidRDefault="00181BB3" w:rsidP="00181BB3">
            <w:pPr>
              <w:rPr>
                <w:sz w:val="24"/>
                <w:szCs w:val="24"/>
              </w:rPr>
            </w:pPr>
            <w:r w:rsidRPr="00210046">
              <w:rPr>
                <w:sz w:val="24"/>
                <w:szCs w:val="24"/>
              </w:rPr>
              <w:t>PO Leadership</w:t>
            </w:r>
            <w:r w:rsidRPr="0021004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70" w:type="dxa"/>
          </w:tcPr>
          <w:p w14:paraId="43332C6A" w14:textId="4E2AA473" w:rsidR="00181BB3" w:rsidRPr="00210046" w:rsidRDefault="00181BB3" w:rsidP="00181BB3">
            <w:pPr>
              <w:rPr>
                <w:sz w:val="24"/>
                <w:szCs w:val="24"/>
              </w:rPr>
            </w:pPr>
            <w:r w:rsidRPr="00210046">
              <w:rPr>
                <w:sz w:val="24"/>
                <w:szCs w:val="24"/>
              </w:rPr>
              <w:t>Day 1</w:t>
            </w:r>
          </w:p>
        </w:tc>
        <w:tc>
          <w:tcPr>
            <w:tcW w:w="2880" w:type="dxa"/>
          </w:tcPr>
          <w:p w14:paraId="1D3BA9D0" w14:textId="71F3F876" w:rsidR="00181BB3" w:rsidRPr="00210046" w:rsidRDefault="00181BB3" w:rsidP="00181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</w:tr>
      <w:tr w:rsidR="00181BB3" w14:paraId="4AED287B" w14:textId="77777777" w:rsidTr="00210046">
        <w:trPr>
          <w:trHeight w:val="288"/>
        </w:trPr>
        <w:tc>
          <w:tcPr>
            <w:tcW w:w="3594" w:type="dxa"/>
          </w:tcPr>
          <w:p w14:paraId="332B9251" w14:textId="279D8968" w:rsidR="00181BB3" w:rsidRPr="00210046" w:rsidRDefault="00181BB3" w:rsidP="00181BB3">
            <w:pPr>
              <w:rPr>
                <w:sz w:val="24"/>
                <w:szCs w:val="24"/>
              </w:rPr>
            </w:pPr>
            <w:r w:rsidRPr="00210046">
              <w:rPr>
                <w:sz w:val="24"/>
                <w:szCs w:val="24"/>
              </w:rPr>
              <w:t>Tech Support</w:t>
            </w:r>
            <w:r w:rsidR="00846D05" w:rsidRPr="00846D05">
              <w:rPr>
                <w:sz w:val="24"/>
                <w:szCs w:val="24"/>
                <w:vertAlign w:val="superscript"/>
              </w:rPr>
              <w:t>1</w:t>
            </w:r>
            <w:r w:rsidRPr="00210046">
              <w:rPr>
                <w:sz w:val="24"/>
                <w:szCs w:val="24"/>
              </w:rPr>
              <w:t xml:space="preserve"> (reports)</w:t>
            </w:r>
          </w:p>
        </w:tc>
        <w:tc>
          <w:tcPr>
            <w:tcW w:w="2970" w:type="dxa"/>
          </w:tcPr>
          <w:p w14:paraId="29990252" w14:textId="62A2E6E7" w:rsidR="00181BB3" w:rsidRPr="00210046" w:rsidRDefault="00181BB3" w:rsidP="00181BB3">
            <w:pPr>
              <w:rPr>
                <w:sz w:val="24"/>
                <w:szCs w:val="24"/>
              </w:rPr>
            </w:pPr>
            <w:r w:rsidRPr="00210046">
              <w:rPr>
                <w:sz w:val="24"/>
                <w:szCs w:val="24"/>
              </w:rPr>
              <w:t>Day 1 AM</w:t>
            </w:r>
          </w:p>
        </w:tc>
        <w:tc>
          <w:tcPr>
            <w:tcW w:w="2880" w:type="dxa"/>
          </w:tcPr>
          <w:p w14:paraId="6DFAD5E8" w14:textId="378FC486" w:rsidR="00181BB3" w:rsidRPr="00210046" w:rsidRDefault="00181BB3" w:rsidP="00181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</w:tr>
    </w:tbl>
    <w:p w14:paraId="29A5E69F" w14:textId="2450E893" w:rsidR="00E64FF8" w:rsidRDefault="00AD2DDA" w:rsidP="00846D05">
      <w:pPr>
        <w:spacing w:before="120" w:after="0"/>
        <w:ind w:left="720"/>
      </w:pPr>
      <w:r w:rsidRPr="00210046">
        <w:rPr>
          <w:vertAlign w:val="superscript"/>
        </w:rPr>
        <w:t>1</w:t>
      </w:r>
      <w:r>
        <w:t xml:space="preserve"> Attends if available</w:t>
      </w:r>
    </w:p>
    <w:p w14:paraId="4EF70846" w14:textId="18692B83" w:rsidR="00AD2DDA" w:rsidRDefault="00AD2DDA" w:rsidP="00210046">
      <w:pPr>
        <w:spacing w:after="0"/>
        <w:ind w:left="720"/>
      </w:pPr>
      <w:r w:rsidRPr="00210046">
        <w:rPr>
          <w:vertAlign w:val="superscript"/>
        </w:rPr>
        <w:t>2</w:t>
      </w:r>
      <w:r>
        <w:t xml:space="preserve"> Day</w:t>
      </w:r>
      <w:r w:rsidR="00181BB3">
        <w:t xml:space="preserve"> One is a full day and Day</w:t>
      </w:r>
      <w:r>
        <w:t xml:space="preserve">s </w:t>
      </w:r>
      <w:r w:rsidR="00181BB3">
        <w:t>Two</w:t>
      </w:r>
      <w:r>
        <w:t xml:space="preserve"> and </w:t>
      </w:r>
      <w:r w:rsidR="00181BB3">
        <w:t>Three</w:t>
      </w:r>
      <w:r>
        <w:t xml:space="preserve"> are half days</w:t>
      </w:r>
    </w:p>
    <w:p w14:paraId="290387AB" w14:textId="06C9232D" w:rsidR="00210046" w:rsidRDefault="00210046" w:rsidP="00210046">
      <w:pPr>
        <w:spacing w:after="0"/>
        <w:ind w:left="720"/>
      </w:pPr>
      <w:r w:rsidRPr="00210046">
        <w:rPr>
          <w:vertAlign w:val="superscript"/>
        </w:rPr>
        <w:t>3</w:t>
      </w:r>
      <w:r>
        <w:t xml:space="preserve"> Webinars are </w:t>
      </w:r>
      <w:r w:rsidR="00181BB3">
        <w:t xml:space="preserve">highly recommended and </w:t>
      </w:r>
      <w:r>
        <w:t xml:space="preserve">typically </w:t>
      </w:r>
      <w:r w:rsidR="00181BB3">
        <w:t xml:space="preserve">lasts one </w:t>
      </w:r>
      <w:r>
        <w:t xml:space="preserve">to </w:t>
      </w:r>
      <w:r w:rsidR="00181BB3">
        <w:t>four</w:t>
      </w:r>
      <w:r>
        <w:t xml:space="preserve"> hours</w:t>
      </w:r>
    </w:p>
    <w:p w14:paraId="30EF57B9" w14:textId="77777777" w:rsidR="00E64FF8" w:rsidRDefault="00E64FF8" w:rsidP="005832DC"/>
    <w:p w14:paraId="133A2ADC" w14:textId="4431EA08" w:rsidR="004D7C57" w:rsidRDefault="004D7C57" w:rsidP="005832DC"/>
    <w:p w14:paraId="429410C8" w14:textId="43FE7020" w:rsidR="001A5C6B" w:rsidRPr="00697176" w:rsidRDefault="001A5C6B">
      <w:pPr>
        <w:rPr>
          <w:u w:val="single"/>
        </w:rPr>
      </w:pPr>
      <w:r w:rsidRPr="00697176">
        <w:rPr>
          <w:u w:val="single"/>
        </w:rPr>
        <w:t xml:space="preserve">After </w:t>
      </w:r>
      <w:r w:rsidR="00C24949">
        <w:rPr>
          <w:u w:val="single"/>
        </w:rPr>
        <w:t>CoCM</w:t>
      </w:r>
      <w:r w:rsidRPr="00697176">
        <w:rPr>
          <w:u w:val="single"/>
        </w:rPr>
        <w:t xml:space="preserve"> Training</w:t>
      </w:r>
    </w:p>
    <w:p w14:paraId="63543430" w14:textId="77777777" w:rsidR="00210046" w:rsidRDefault="001A5C6B">
      <w:r>
        <w:t xml:space="preserve">Practices can </w:t>
      </w:r>
      <w:r w:rsidR="00210046">
        <w:t>receive ongoing support through monthly roundtables.</w:t>
      </w:r>
    </w:p>
    <w:p w14:paraId="3D4611D3" w14:textId="76C791B2" w:rsidR="00FB2A67" w:rsidRDefault="001A5C6B">
      <w:r>
        <w:t xml:space="preserve">BCBSM reimburses this level of care after a practice completes required training and begins offering </w:t>
      </w:r>
      <w:r w:rsidR="00C24949">
        <w:t>CoCM</w:t>
      </w:r>
      <w:r>
        <w:t xml:space="preserve"> services. BCBSM maintains this incentive for a period of 3 years to support the practice’s transition to </w:t>
      </w:r>
      <w:r w:rsidR="00BB04A6">
        <w:t xml:space="preserve">offering </w:t>
      </w:r>
      <w:r>
        <w:t>this enhanced level of patient care.</w:t>
      </w:r>
    </w:p>
    <w:sectPr w:rsidR="00FB2A67" w:rsidSect="006971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79EE" w14:textId="77777777" w:rsidR="00FF38E9" w:rsidRDefault="00FF38E9" w:rsidP="002157AA">
      <w:pPr>
        <w:spacing w:after="0" w:line="240" w:lineRule="auto"/>
      </w:pPr>
      <w:r>
        <w:separator/>
      </w:r>
    </w:p>
  </w:endnote>
  <w:endnote w:type="continuationSeparator" w:id="0">
    <w:p w14:paraId="59824A7E" w14:textId="77777777" w:rsidR="00FF38E9" w:rsidRDefault="00FF38E9" w:rsidP="0021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EB66" w14:textId="77777777" w:rsidR="002157AA" w:rsidRDefault="00215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CD54" w14:textId="77777777" w:rsidR="002157AA" w:rsidRDefault="00215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C880" w14:textId="77777777" w:rsidR="002157AA" w:rsidRDefault="00215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1C79" w14:textId="77777777" w:rsidR="00FF38E9" w:rsidRDefault="00FF38E9" w:rsidP="002157AA">
      <w:pPr>
        <w:spacing w:after="0" w:line="240" w:lineRule="auto"/>
      </w:pPr>
      <w:r>
        <w:separator/>
      </w:r>
    </w:p>
  </w:footnote>
  <w:footnote w:type="continuationSeparator" w:id="0">
    <w:p w14:paraId="7E849D73" w14:textId="77777777" w:rsidR="00FF38E9" w:rsidRDefault="00FF38E9" w:rsidP="0021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DDD7" w14:textId="77777777" w:rsidR="002157AA" w:rsidRDefault="00215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E06C" w14:textId="54776B4F" w:rsidR="002157AA" w:rsidRDefault="00215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816B" w14:textId="77777777" w:rsidR="002157AA" w:rsidRDefault="00215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097F"/>
    <w:multiLevelType w:val="hybridMultilevel"/>
    <w:tmpl w:val="EF9AB0AA"/>
    <w:lvl w:ilvl="0" w:tplc="056A2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22FB3"/>
    <w:multiLevelType w:val="hybridMultilevel"/>
    <w:tmpl w:val="4E0EC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469A5"/>
    <w:multiLevelType w:val="hybridMultilevel"/>
    <w:tmpl w:val="51F46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92990"/>
    <w:multiLevelType w:val="hybridMultilevel"/>
    <w:tmpl w:val="C896A7B2"/>
    <w:lvl w:ilvl="0" w:tplc="703AD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C18F9"/>
    <w:multiLevelType w:val="hybridMultilevel"/>
    <w:tmpl w:val="88D03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211B5"/>
    <w:multiLevelType w:val="hybridMultilevel"/>
    <w:tmpl w:val="2BBE7C18"/>
    <w:lvl w:ilvl="0" w:tplc="9F5E4F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326290">
    <w:abstractNumId w:val="1"/>
  </w:num>
  <w:num w:numId="2" w16cid:durableId="1379010534">
    <w:abstractNumId w:val="2"/>
  </w:num>
  <w:num w:numId="3" w16cid:durableId="1536845057">
    <w:abstractNumId w:val="4"/>
  </w:num>
  <w:num w:numId="4" w16cid:durableId="874922433">
    <w:abstractNumId w:val="5"/>
  </w:num>
  <w:num w:numId="5" w16cid:durableId="77018258">
    <w:abstractNumId w:val="0"/>
  </w:num>
  <w:num w:numId="6" w16cid:durableId="1738278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67"/>
    <w:rsid w:val="00113CD1"/>
    <w:rsid w:val="00181BB3"/>
    <w:rsid w:val="001A5C6B"/>
    <w:rsid w:val="00205869"/>
    <w:rsid w:val="00210046"/>
    <w:rsid w:val="002157AA"/>
    <w:rsid w:val="002701F4"/>
    <w:rsid w:val="00332F20"/>
    <w:rsid w:val="003D77BA"/>
    <w:rsid w:val="004220CF"/>
    <w:rsid w:val="004D7C57"/>
    <w:rsid w:val="00534003"/>
    <w:rsid w:val="005556A3"/>
    <w:rsid w:val="005832DC"/>
    <w:rsid w:val="005E4582"/>
    <w:rsid w:val="005F4195"/>
    <w:rsid w:val="00606BCF"/>
    <w:rsid w:val="00697176"/>
    <w:rsid w:val="006E0C87"/>
    <w:rsid w:val="006E477B"/>
    <w:rsid w:val="00707962"/>
    <w:rsid w:val="00724E08"/>
    <w:rsid w:val="007B6EDE"/>
    <w:rsid w:val="00846D05"/>
    <w:rsid w:val="0089030D"/>
    <w:rsid w:val="008B070B"/>
    <w:rsid w:val="00A762E1"/>
    <w:rsid w:val="00AD2DDA"/>
    <w:rsid w:val="00B64369"/>
    <w:rsid w:val="00B968DC"/>
    <w:rsid w:val="00BB04A6"/>
    <w:rsid w:val="00BB2B47"/>
    <w:rsid w:val="00C24949"/>
    <w:rsid w:val="00C71356"/>
    <w:rsid w:val="00C852FF"/>
    <w:rsid w:val="00CF3070"/>
    <w:rsid w:val="00D118D0"/>
    <w:rsid w:val="00E064D9"/>
    <w:rsid w:val="00E64FF8"/>
    <w:rsid w:val="00E66091"/>
    <w:rsid w:val="00FB2A67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8B830"/>
  <w15:chartTrackingRefBased/>
  <w15:docId w15:val="{FA57FEBA-BA8F-4F89-A0A8-9CBC39F5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070"/>
    <w:pPr>
      <w:ind w:left="720"/>
      <w:contextualSpacing/>
    </w:pPr>
  </w:style>
  <w:style w:type="table" w:styleId="TableGrid">
    <w:name w:val="Table Grid"/>
    <w:basedOn w:val="TableNormal"/>
    <w:uiPriority w:val="39"/>
    <w:rsid w:val="004D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7AA"/>
  </w:style>
  <w:style w:type="paragraph" w:styleId="Footer">
    <w:name w:val="footer"/>
    <w:basedOn w:val="Normal"/>
    <w:link w:val="FooterChar"/>
    <w:uiPriority w:val="99"/>
    <w:unhideWhenUsed/>
    <w:rsid w:val="00215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C4B77-DED8-4EEE-83F8-6ED00332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Virro-Nic</dc:creator>
  <cp:keywords/>
  <dc:description/>
  <cp:lastModifiedBy>Sue Vos</cp:lastModifiedBy>
  <cp:revision>2</cp:revision>
  <dcterms:created xsi:type="dcterms:W3CDTF">2022-04-27T11:41:00Z</dcterms:created>
  <dcterms:modified xsi:type="dcterms:W3CDTF">2022-04-27T11:41:00Z</dcterms:modified>
</cp:coreProperties>
</file>